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lang w:val="en-US" w:eastAsia="zh-CN"/>
        </w:rPr>
      </w:pPr>
      <w:r>
        <w:rPr>
          <w:rFonts w:hint="eastAsia" w:ascii="仿宋" w:hAnsi="仿宋" w:eastAsia="仿宋" w:cs="仿宋"/>
          <w:color w:val="auto"/>
          <w:sz w:val="40"/>
          <w:szCs w:val="40"/>
          <w:highlight w:val="none"/>
          <w:lang w:val="en-US" w:eastAsia="zh-CN"/>
        </w:rPr>
        <w:t>睿采交易云平台合作谈判采购</w:t>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highlight w:val="none"/>
        </w:rPr>
      </w:pPr>
      <w:r>
        <w:rPr>
          <w:rFonts w:hint="eastAsia" w:ascii="仿宋" w:hAnsi="仿宋" w:eastAsia="仿宋" w:cs="仿宋"/>
          <w:color w:val="auto"/>
          <w:sz w:val="40"/>
          <w:szCs w:val="40"/>
          <w:highlight w:val="none"/>
        </w:rPr>
        <w:t>实施细则(试行)</w:t>
      </w:r>
    </w:p>
    <w:p>
      <w:pPr>
        <w:pStyle w:val="2"/>
        <w:numPr>
          <w:ilvl w:val="0"/>
          <w:numId w:val="0"/>
        </w:num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第一章 </w:t>
      </w:r>
      <w:r>
        <w:rPr>
          <w:rFonts w:hint="eastAsia" w:ascii="仿宋" w:hAnsi="仿宋" w:eastAsia="仿宋" w:cs="仿宋"/>
          <w:b/>
          <w:bCs/>
          <w:color w:val="auto"/>
          <w:sz w:val="28"/>
          <w:szCs w:val="28"/>
          <w:highlight w:val="none"/>
        </w:rPr>
        <w:t>总则</w:t>
      </w:r>
    </w:p>
    <w:p>
      <w:pPr>
        <w:numPr>
          <w:ilvl w:val="0"/>
          <w:numId w:val="0"/>
        </w:numPr>
        <w:spacing w:line="360" w:lineRule="auto"/>
        <w:ind w:firstLine="562" w:firstLineChars="200"/>
        <w:jc w:val="both"/>
        <w:rPr>
          <w:rFonts w:hint="eastAsia" w:ascii="仿宋" w:hAnsi="仿宋" w:eastAsia="仿宋" w:cs="仿宋"/>
          <w:b w:val="0"/>
          <w:bCs w:val="0"/>
          <w:color w:val="auto"/>
          <w:sz w:val="28"/>
          <w:szCs w:val="28"/>
          <w:highlight w:val="none"/>
          <w:lang w:val="en-US" w:eastAsia="zh-CN"/>
        </w:rPr>
      </w:pPr>
      <w:r>
        <w:rPr>
          <w:rFonts w:hint="eastAsia" w:ascii="仿宋" w:hAnsi="仿宋" w:eastAsia="仿宋" w:cs="仿宋"/>
          <w:b/>
          <w:bCs/>
          <w:color w:val="auto"/>
          <w:sz w:val="28"/>
          <w:szCs w:val="28"/>
          <w:highlight w:val="none"/>
          <w:lang w:val="en-US" w:eastAsia="zh-CN"/>
        </w:rPr>
        <w:t>第一条</w:t>
      </w:r>
      <w:r>
        <w:rPr>
          <w:rFonts w:hint="eastAsia" w:ascii="仿宋" w:hAnsi="仿宋" w:eastAsia="仿宋" w:cs="仿宋"/>
          <w:b w:val="0"/>
          <w:bCs w:val="0"/>
          <w:color w:val="auto"/>
          <w:sz w:val="28"/>
          <w:szCs w:val="28"/>
          <w:highlight w:val="none"/>
          <w:lang w:val="en-US" w:eastAsia="zh-CN"/>
        </w:rPr>
        <w:t xml:space="preserve"> 根据《黑龙江省国资委出资企业阳光采购监督指导意见》、及《国有企业采购操作规范》(T/CFLP0016-2019)的有关规定,制定本细则。</w:t>
      </w:r>
    </w:p>
    <w:p>
      <w:pPr>
        <w:pStyle w:val="7"/>
        <w:tabs>
          <w:tab w:val="left" w:pos="1843"/>
        </w:tabs>
        <w:autoSpaceDE w:val="0"/>
        <w:autoSpaceDN w:val="0"/>
        <w:adjustRightInd w:val="0"/>
        <w:snapToGrid w:val="0"/>
        <w:spacing w:line="360" w:lineRule="auto"/>
        <w:ind w:left="0" w:leftChars="0" w:firstLine="562" w:firstLineChars="200"/>
        <w:rPr>
          <w:rFonts w:hint="eastAsia" w:ascii="仿宋" w:hAnsi="仿宋" w:eastAsia="仿宋" w:cs="仿宋"/>
          <w:color w:val="auto"/>
          <w:sz w:val="28"/>
          <w:szCs w:val="28"/>
          <w:highlight w:val="none"/>
          <w:lang w:val="en-US" w:eastAsia="zh-CN"/>
        </w:rPr>
      </w:pPr>
      <w:r>
        <w:rPr>
          <w:rFonts w:hint="eastAsia" w:ascii="仿宋" w:hAnsi="仿宋" w:eastAsia="仿宋" w:cs="仿宋"/>
          <w:b/>
          <w:bCs/>
          <w:color w:val="auto"/>
          <w:sz w:val="28"/>
          <w:szCs w:val="28"/>
          <w:highlight w:val="none"/>
        </w:rPr>
        <w:t xml:space="preserve">第二条 </w:t>
      </w:r>
      <w:r>
        <w:rPr>
          <w:rFonts w:hint="eastAsia" w:ascii="仿宋" w:hAnsi="仿宋" w:eastAsia="仿宋" w:cs="仿宋"/>
          <w:color w:val="auto"/>
          <w:sz w:val="28"/>
          <w:szCs w:val="28"/>
          <w:highlight w:val="none"/>
        </w:rPr>
        <w:t>本办法适用</w:t>
      </w:r>
      <w:r>
        <w:rPr>
          <w:rFonts w:hint="eastAsia" w:ascii="仿宋" w:hAnsi="仿宋" w:eastAsia="仿宋" w:cs="仿宋"/>
          <w:color w:val="auto"/>
          <w:kern w:val="2"/>
          <w:sz w:val="28"/>
          <w:szCs w:val="28"/>
          <w:highlight w:val="none"/>
          <w:lang w:val="en-US" w:eastAsia="zh-CN" w:bidi="ar-SA"/>
        </w:rPr>
        <w:t>通过</w:t>
      </w:r>
      <w:r>
        <w:rPr>
          <w:rFonts w:hint="eastAsia" w:ascii="仿宋" w:hAnsi="仿宋" w:eastAsia="仿宋" w:cs="仿宋"/>
          <w:color w:val="auto"/>
          <w:sz w:val="28"/>
          <w:szCs w:val="28"/>
          <w:highlight w:val="none"/>
          <w:lang w:val="en-US" w:eastAsia="zh-CN"/>
        </w:rPr>
        <w:t>睿采交易云平台合作谈判</w:t>
      </w:r>
      <w:r>
        <w:rPr>
          <w:rFonts w:hint="eastAsia" w:ascii="仿宋" w:hAnsi="仿宋" w:eastAsia="仿宋" w:cs="仿宋"/>
          <w:color w:val="auto"/>
          <w:kern w:val="2"/>
          <w:sz w:val="28"/>
          <w:szCs w:val="28"/>
          <w:highlight w:val="none"/>
          <w:lang w:val="en-US" w:eastAsia="zh-CN" w:bidi="ar-SA"/>
        </w:rPr>
        <w:t>采购方式开展非依法必须招标项目的采购活动。</w:t>
      </w:r>
    </w:p>
    <w:p>
      <w:pPr>
        <w:kinsoku w:val="0"/>
        <w:overflowPunct w:val="0"/>
        <w:autoSpaceDE w:val="0"/>
        <w:autoSpaceDN w:val="0"/>
        <w:spacing w:line="360" w:lineRule="auto"/>
        <w:ind w:firstLine="562" w:firstLineChars="200"/>
        <w:jc w:val="left"/>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第三条  </w:t>
      </w:r>
      <w:r>
        <w:rPr>
          <w:rFonts w:hint="eastAsia" w:ascii="仿宋" w:hAnsi="仿宋" w:eastAsia="仿宋" w:cs="仿宋"/>
          <w:color w:val="auto"/>
          <w:kern w:val="0"/>
          <w:sz w:val="28"/>
          <w:szCs w:val="28"/>
          <w:highlight w:val="none"/>
          <w:lang w:bidi="ar"/>
        </w:rPr>
        <w:t>合作谈判是指采购目标需求明确但不具备招标条件,只能通过谈判的方式同供应商签订货物或服务合同并建立战略合作伙伴关系的采购方式。合作谈判应符合下列条件之一：</w:t>
      </w:r>
    </w:p>
    <w:p>
      <w:pPr>
        <w:kinsoku w:val="0"/>
        <w:overflowPunct w:val="0"/>
        <w:autoSpaceDE w:val="0"/>
        <w:autoSpaceDN w:val="0"/>
        <w:spacing w:line="360" w:lineRule="auto"/>
        <w:ind w:firstLine="560" w:firstLineChars="200"/>
        <w:jc w:val="left"/>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(一)需要长期稳定供应、采用招标或其他采购</w:t>
      </w:r>
      <w:r>
        <w:rPr>
          <w:rFonts w:hint="eastAsia" w:ascii="仿宋" w:hAnsi="仿宋" w:eastAsia="仿宋" w:cs="仿宋"/>
          <w:color w:val="auto"/>
          <w:kern w:val="0"/>
          <w:sz w:val="28"/>
          <w:szCs w:val="28"/>
          <w:highlight w:val="none"/>
          <w:lang w:val="en-US" w:eastAsia="zh-CN" w:bidi="ar"/>
        </w:rPr>
        <w:t>方</w:t>
      </w:r>
      <w:r>
        <w:rPr>
          <w:rFonts w:hint="eastAsia" w:ascii="仿宋" w:hAnsi="仿宋" w:eastAsia="仿宋" w:cs="仿宋"/>
          <w:color w:val="auto"/>
          <w:kern w:val="0"/>
          <w:sz w:val="28"/>
          <w:szCs w:val="28"/>
          <w:highlight w:val="none"/>
          <w:lang w:bidi="ar"/>
        </w:rPr>
        <w:t>式不可能满足需求的采购。</w:t>
      </w:r>
    </w:p>
    <w:p>
      <w:pPr>
        <w:kinsoku w:val="0"/>
        <w:overflowPunct w:val="0"/>
        <w:autoSpaceDE w:val="0"/>
        <w:autoSpaceDN w:val="0"/>
        <w:spacing w:line="360" w:lineRule="auto"/>
        <w:ind w:firstLine="560" w:firstLineChars="200"/>
        <w:jc w:val="left"/>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(二)需要和特定供应商当面沟通、交流、协商长期合作的采购。</w:t>
      </w:r>
    </w:p>
    <w:p>
      <w:pPr>
        <w:kinsoku w:val="0"/>
        <w:overflowPunct w:val="0"/>
        <w:autoSpaceDE w:val="0"/>
        <w:autoSpaceDN w:val="0"/>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第二章  发布采购公告及意向供应商报名</w:t>
      </w:r>
    </w:p>
    <w:p>
      <w:pPr>
        <w:kinsoku w:val="0"/>
        <w:overflowPunct w:val="0"/>
        <w:autoSpaceDE w:val="0"/>
        <w:autoSpaceDN w:val="0"/>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第四条 </w:t>
      </w:r>
      <w:r>
        <w:rPr>
          <w:rFonts w:hint="eastAsia" w:ascii="仿宋" w:hAnsi="仿宋" w:eastAsia="仿宋" w:cs="仿宋"/>
          <w:b/>
          <w:bCs/>
          <w:color w:val="auto"/>
          <w:sz w:val="28"/>
          <w:szCs w:val="28"/>
          <w:highlight w:val="none"/>
        </w:rPr>
        <w:t xml:space="preserve"> </w:t>
      </w:r>
      <w:r>
        <w:rPr>
          <w:rFonts w:hint="eastAsia" w:ascii="仿宋" w:hAnsi="仿宋" w:eastAsia="仿宋" w:cs="仿宋"/>
          <w:color w:val="auto"/>
          <w:kern w:val="0"/>
          <w:sz w:val="28"/>
          <w:szCs w:val="28"/>
          <w:highlight w:val="none"/>
          <w:lang w:bidi="ar"/>
        </w:rPr>
        <w:t>采购单位应编制合作谈判采购公告或邀请函</w:t>
      </w:r>
      <w:r>
        <w:rPr>
          <w:rFonts w:hint="eastAsia" w:ascii="仿宋" w:hAnsi="仿宋" w:eastAsia="仿宋" w:cs="仿宋"/>
          <w:color w:val="auto"/>
          <w:sz w:val="28"/>
          <w:szCs w:val="28"/>
          <w:highlight w:val="none"/>
        </w:rPr>
        <w:t>在</w:t>
      </w:r>
      <w:r>
        <w:rPr>
          <w:rFonts w:hint="eastAsia" w:ascii="仿宋" w:hAnsi="仿宋" w:eastAsia="仿宋" w:cs="仿宋"/>
          <w:color w:val="auto"/>
          <w:sz w:val="28"/>
          <w:szCs w:val="28"/>
          <w:highlight w:val="none"/>
          <w:lang w:eastAsia="zh-CN"/>
        </w:rPr>
        <w:t>睿采交易云平台</w:t>
      </w:r>
      <w:r>
        <w:rPr>
          <w:rFonts w:hint="eastAsia" w:ascii="仿宋" w:hAnsi="仿宋" w:eastAsia="仿宋" w:cs="仿宋"/>
          <w:color w:val="auto"/>
          <w:kern w:val="0"/>
          <w:sz w:val="28"/>
          <w:szCs w:val="28"/>
          <w:highlight w:val="none"/>
          <w:lang w:bidi="ar"/>
        </w:rPr>
        <w:t>发布。合作谈判采购公告或邀请函内容包括但不限于以下内容：</w:t>
      </w:r>
    </w:p>
    <w:p>
      <w:pPr>
        <w:kinsoku w:val="0"/>
        <w:overflowPunct w:val="0"/>
        <w:autoSpaceDE w:val="0"/>
        <w:autoSpaceDN w:val="0"/>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（一）项目名称、项目概况；</w:t>
      </w:r>
    </w:p>
    <w:p>
      <w:pPr>
        <w:kinsoku w:val="0"/>
        <w:overflowPunct w:val="0"/>
        <w:autoSpaceDE w:val="0"/>
        <w:autoSpaceDN w:val="0"/>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（二）采购方式、采购预算；</w:t>
      </w:r>
    </w:p>
    <w:p>
      <w:pPr>
        <w:kinsoku w:val="0"/>
        <w:overflowPunct w:val="0"/>
        <w:autoSpaceDE w:val="0"/>
        <w:autoSpaceDN w:val="0"/>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（三）投标保证金的金额、提交时间、方式和要求；</w:t>
      </w:r>
    </w:p>
    <w:p>
      <w:pPr>
        <w:kinsoku w:val="0"/>
        <w:overflowPunct w:val="0"/>
        <w:autoSpaceDE w:val="0"/>
        <w:autoSpaceDN w:val="0"/>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（四）通过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报名及获取合作谈判采购文件的时间、方式；</w:t>
      </w:r>
    </w:p>
    <w:p>
      <w:pPr>
        <w:kinsoku w:val="0"/>
        <w:overflowPunct w:val="0"/>
        <w:autoSpaceDE w:val="0"/>
        <w:autoSpaceDN w:val="0"/>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（五）递交合作谈判响应文件的截止时间、地点、方式；</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（六）谈判时间；</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（七）采购单位的名称、地址、联系人及联系方式；</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（八）潜在供应商访问</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的网址和方法；</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（九）其他应当载明的内容。</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邀请指定的意向供应商参与的合作谈判采购项目,采购单位应向被邀请的意向供应商发送邀请函,并通过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发布邀请公告,邀请公告内容参照采购公告。</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第五条  </w:t>
      </w:r>
      <w:r>
        <w:rPr>
          <w:rFonts w:hint="eastAsia" w:ascii="仿宋" w:hAnsi="仿宋" w:eastAsia="仿宋" w:cs="仿宋"/>
          <w:color w:val="auto"/>
          <w:kern w:val="0"/>
          <w:sz w:val="28"/>
          <w:szCs w:val="28"/>
          <w:highlight w:val="none"/>
          <w:lang w:bidi="ar"/>
        </w:rPr>
        <w:t>意向供应商应按照合作谈判采购公告或邀请函规定的时间、方式通过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注册、报名。</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第六条  </w:t>
      </w:r>
      <w:r>
        <w:rPr>
          <w:rFonts w:hint="eastAsia" w:ascii="仿宋" w:hAnsi="仿宋" w:eastAsia="仿宋" w:cs="仿宋"/>
          <w:color w:val="auto"/>
          <w:kern w:val="0"/>
          <w:sz w:val="28"/>
          <w:szCs w:val="28"/>
          <w:highlight w:val="none"/>
          <w:lang w:bidi="ar"/>
        </w:rPr>
        <w:t>采购单位在合作谈判采购公告或邀请函中要求意向供应商交纳投标保证金的,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不超过采购预算的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，最低不少于</w:t>
      </w:r>
      <w:r>
        <w:rPr>
          <w:rFonts w:hint="eastAsia" w:ascii="仿宋" w:hAnsi="仿宋" w:eastAsia="仿宋" w:cs="仿宋"/>
          <w:color w:val="auto"/>
          <w:sz w:val="28"/>
          <w:szCs w:val="28"/>
          <w:highlight w:val="none"/>
          <w:lang w:val="en-US" w:eastAsia="zh-CN"/>
        </w:rPr>
        <w:t>1000元</w:t>
      </w:r>
      <w:r>
        <w:rPr>
          <w:rFonts w:hint="eastAsia" w:ascii="仿宋" w:hAnsi="仿宋" w:eastAsia="仿宋" w:cs="仿宋"/>
          <w:color w:val="auto"/>
          <w:kern w:val="0"/>
          <w:sz w:val="28"/>
          <w:szCs w:val="28"/>
          <w:highlight w:val="none"/>
          <w:lang w:bidi="ar"/>
        </w:rPr>
        <w:t>。意向供应商应当按照合作谈判采购公告或邀请函要求，将投标保证金交纳到指定银行账户。</w:t>
      </w:r>
    </w:p>
    <w:p>
      <w:pPr>
        <w:widowControl/>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第三章  组织谈判及成交确认</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第七条  </w:t>
      </w:r>
      <w:r>
        <w:rPr>
          <w:rFonts w:hint="eastAsia" w:ascii="仿宋" w:hAnsi="仿宋" w:eastAsia="仿宋" w:cs="仿宋"/>
          <w:color w:val="auto"/>
          <w:kern w:val="0"/>
          <w:sz w:val="28"/>
          <w:szCs w:val="28"/>
          <w:highlight w:val="none"/>
          <w:lang w:bidi="ar"/>
        </w:rPr>
        <w:t>采购单位应按合作谈判项目特点组织谈判,谈判可分为以下阶段但不限于以下内容：</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（一）组建谈判团队阶段；</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采购单位依据谈判项目的特点组建谈判团队,团队的结构包括集团公司</w:t>
      </w:r>
      <w:r>
        <w:rPr>
          <w:rFonts w:hint="eastAsia" w:ascii="仿宋" w:hAnsi="仿宋" w:eastAsia="仿宋" w:cs="仿宋"/>
          <w:color w:val="auto"/>
          <w:sz w:val="28"/>
          <w:szCs w:val="28"/>
          <w:highlight w:val="none"/>
        </w:rPr>
        <w:t>权属二级企业</w:t>
      </w:r>
      <w:r>
        <w:rPr>
          <w:rFonts w:hint="eastAsia" w:ascii="仿宋" w:hAnsi="仿宋" w:eastAsia="仿宋" w:cs="仿宋"/>
          <w:color w:val="auto"/>
          <w:kern w:val="0"/>
          <w:sz w:val="28"/>
          <w:szCs w:val="28"/>
          <w:highlight w:val="none"/>
          <w:lang w:bidi="ar"/>
        </w:rPr>
        <w:t>项目相关部门的主要负责人和技术专家,必要时由采购单位从</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评标评审专家库中随机抽取。</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（二）谈判计划阶段包括确定谈判目标、确定谈判预案、确定谈判规则；</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（三）谈判准备阶段包括诊断情景分析形势、选择方案降低风险；</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（四）谈判管理阶段包括过程管理、评价结果；</w:t>
      </w:r>
    </w:p>
    <w:p>
      <w:pPr>
        <w:widowControl/>
        <w:spacing w:line="360" w:lineRule="auto"/>
        <w:ind w:firstLine="560" w:firstLineChars="200"/>
        <w:rPr>
          <w:rFonts w:hint="eastAsia" w:ascii="仿宋" w:hAnsi="仿宋" w:eastAsia="仿宋" w:cs="仿宋"/>
          <w:color w:val="auto"/>
          <w:kern w:val="0"/>
          <w:sz w:val="28"/>
          <w:szCs w:val="28"/>
          <w:highlight w:val="none"/>
          <w:lang w:bidi="ar"/>
        </w:rPr>
      </w:pPr>
      <w:r>
        <w:rPr>
          <w:rFonts w:hint="eastAsia" w:ascii="仿宋" w:hAnsi="仿宋" w:eastAsia="仿宋" w:cs="仿宋"/>
          <w:color w:val="auto"/>
          <w:kern w:val="0"/>
          <w:sz w:val="28"/>
          <w:szCs w:val="28"/>
          <w:highlight w:val="none"/>
          <w:lang w:bidi="ar"/>
        </w:rPr>
        <w:t>（五）签订合同阶段包括结束谈判、签订合同。</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第八条  </w:t>
      </w:r>
      <w:r>
        <w:rPr>
          <w:rFonts w:hint="eastAsia" w:ascii="仿宋" w:hAnsi="仿宋" w:eastAsia="仿宋" w:cs="仿宋"/>
          <w:color w:val="auto"/>
          <w:kern w:val="0"/>
          <w:sz w:val="28"/>
          <w:szCs w:val="28"/>
          <w:highlight w:val="none"/>
          <w:lang w:bidi="ar"/>
        </w:rPr>
        <w:t>采购单位确定成交供应商后,采购单位应通过</w:t>
      </w:r>
      <w:r>
        <w:rPr>
          <w:rFonts w:hint="eastAsia" w:ascii="仿宋" w:hAnsi="仿宋" w:eastAsia="仿宋" w:cs="仿宋"/>
          <w:color w:val="auto"/>
          <w:kern w:val="0"/>
          <w:sz w:val="28"/>
          <w:szCs w:val="28"/>
          <w:highlight w:val="none"/>
          <w:lang w:eastAsia="zh-CN" w:bidi="ar"/>
        </w:rPr>
        <w:t>睿采交易云平台</w:t>
      </w:r>
      <w:r>
        <w:rPr>
          <w:rFonts w:hint="eastAsia" w:ascii="仿宋" w:hAnsi="仿宋" w:eastAsia="仿宋" w:cs="仿宋"/>
          <w:color w:val="auto"/>
          <w:kern w:val="0"/>
          <w:sz w:val="28"/>
          <w:szCs w:val="28"/>
          <w:highlight w:val="none"/>
          <w:lang w:bidi="ar"/>
        </w:rPr>
        <w:t>发布成交结果公告并向成交供应商发出成交通知书,同时将成交结果通知所有未成交的供应商。</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第九条  </w:t>
      </w:r>
      <w:r>
        <w:rPr>
          <w:rFonts w:hint="eastAsia" w:ascii="仿宋" w:hAnsi="仿宋" w:eastAsia="仿宋" w:cs="仿宋"/>
          <w:color w:val="auto"/>
          <w:kern w:val="0"/>
          <w:sz w:val="28"/>
          <w:szCs w:val="28"/>
          <w:highlight w:val="none"/>
          <w:lang w:bidi="ar"/>
        </w:rPr>
        <w:t>成交通知书对采购单位和成交供应商具有法律效力。成交通知书发出后,采购单位改变成交结果的、成交供应商放弃成交项目或拒绝签订采购合同的,应当依法承担法律责任。</w:t>
      </w:r>
    </w:p>
    <w:p>
      <w:pPr>
        <w:widowControl/>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第四章  合同签订与结算</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第十条  </w:t>
      </w:r>
      <w:r>
        <w:rPr>
          <w:rFonts w:hint="eastAsia" w:ascii="仿宋" w:hAnsi="仿宋" w:eastAsia="仿宋" w:cs="仿宋"/>
          <w:color w:val="auto"/>
          <w:kern w:val="0"/>
          <w:sz w:val="28"/>
          <w:szCs w:val="28"/>
          <w:highlight w:val="none"/>
          <w:lang w:bidi="ar"/>
        </w:rPr>
        <w:t>除发生不可抗力外,采购单位与成交供应商应在成交通知书发出之日起</w:t>
      </w:r>
      <w:r>
        <w:rPr>
          <w:rFonts w:hint="eastAsia" w:ascii="仿宋" w:hAnsi="仿宋" w:eastAsia="仿宋" w:cs="仿宋"/>
          <w:color w:val="auto"/>
          <w:kern w:val="0"/>
          <w:sz w:val="28"/>
          <w:szCs w:val="28"/>
          <w:highlight w:val="none"/>
          <w:lang w:val="en-US" w:eastAsia="zh-CN" w:bidi="ar"/>
        </w:rPr>
        <w:t>7个工作</w:t>
      </w:r>
      <w:r>
        <w:rPr>
          <w:rFonts w:hint="eastAsia" w:ascii="仿宋" w:hAnsi="仿宋" w:eastAsia="仿宋" w:cs="仿宋"/>
          <w:color w:val="auto"/>
          <w:kern w:val="0"/>
          <w:sz w:val="28"/>
          <w:szCs w:val="28"/>
          <w:highlight w:val="none"/>
          <w:lang w:bidi="ar"/>
        </w:rPr>
        <w:t>日内签订采购合同。</w:t>
      </w:r>
    </w:p>
    <w:p>
      <w:pPr>
        <w:widowControl/>
        <w:spacing w:line="360" w:lineRule="auto"/>
        <w:ind w:firstLine="562" w:firstLineChars="200"/>
        <w:rPr>
          <w:rFonts w:hint="eastAsia" w:ascii="仿宋" w:hAnsi="仿宋" w:eastAsia="仿宋" w:cs="仿宋"/>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 xml:space="preserve">第十一条  </w:t>
      </w:r>
      <w:r>
        <w:rPr>
          <w:rFonts w:hint="eastAsia" w:ascii="仿宋" w:hAnsi="仿宋" w:eastAsia="仿宋" w:cs="仿宋"/>
          <w:color w:val="auto"/>
          <w:kern w:val="0"/>
          <w:sz w:val="28"/>
          <w:szCs w:val="28"/>
          <w:highlight w:val="none"/>
          <w:lang w:bidi="ar"/>
        </w:rPr>
        <w:t>未成交意向供应商的投标保证金,采购单位应在成交通知书发出后5日内全额退还。成交供应商的投标保证金,采购单位</w:t>
      </w:r>
      <w:r>
        <w:rPr>
          <w:rFonts w:hint="eastAsia" w:ascii="仿宋" w:hAnsi="仿宋" w:eastAsia="仿宋" w:cs="仿宋"/>
          <w:color w:val="auto"/>
          <w:kern w:val="0"/>
          <w:sz w:val="28"/>
          <w:szCs w:val="28"/>
          <w:highlight w:val="none"/>
          <w:lang w:val="en-US" w:eastAsia="zh-CN" w:bidi="ar"/>
        </w:rPr>
        <w:t>转为履约保证金</w:t>
      </w:r>
      <w:r>
        <w:rPr>
          <w:rFonts w:hint="eastAsia" w:ascii="仿宋" w:hAnsi="仿宋" w:eastAsia="仿宋" w:cs="仿宋"/>
          <w:color w:val="auto"/>
          <w:kern w:val="0"/>
          <w:sz w:val="28"/>
          <w:szCs w:val="28"/>
          <w:highlight w:val="none"/>
          <w:lang w:bidi="ar"/>
        </w:rPr>
        <w:t>。</w:t>
      </w:r>
    </w:p>
    <w:p>
      <w:pPr>
        <w:widowControl/>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kern w:val="0"/>
          <w:sz w:val="28"/>
          <w:szCs w:val="28"/>
          <w:highlight w:val="none"/>
          <w:lang w:bidi="ar"/>
        </w:rPr>
        <w:t xml:space="preserve">第十二条 </w:t>
      </w:r>
      <w:r>
        <w:rPr>
          <w:rFonts w:hint="eastAsia" w:ascii="仿宋" w:hAnsi="仿宋" w:eastAsia="仿宋" w:cs="仿宋"/>
          <w:b/>
          <w:bCs/>
          <w:color w:val="auto"/>
          <w:kern w:val="0"/>
          <w:sz w:val="28"/>
          <w:szCs w:val="28"/>
          <w:highlight w:val="none"/>
          <w:lang w:val="en-US" w:eastAsia="zh-CN" w:bidi="ar"/>
        </w:rPr>
        <w:t xml:space="preserve"> </w:t>
      </w:r>
      <w:r>
        <w:rPr>
          <w:rFonts w:hint="eastAsia" w:ascii="仿宋" w:hAnsi="仿宋" w:eastAsia="仿宋" w:cs="仿宋"/>
          <w:color w:val="auto"/>
          <w:kern w:val="0"/>
          <w:sz w:val="28"/>
          <w:szCs w:val="28"/>
          <w:highlight w:val="none"/>
          <w:lang w:bidi="ar"/>
        </w:rPr>
        <w:t>谈判过程中采购单位要求成交供应商提交履约保证金的,成交供应商应当按要求提交。</w:t>
      </w:r>
    </w:p>
    <w:p>
      <w:pPr>
        <w:widowControl/>
        <w:spacing w:after="156" w:afterLines="50" w:line="360" w:lineRule="auto"/>
        <w:jc w:val="center"/>
        <w:rPr>
          <w:rFonts w:hint="eastAsia" w:ascii="仿宋" w:hAnsi="仿宋" w:eastAsia="仿宋" w:cs="仿宋"/>
          <w:b/>
          <w:bCs/>
          <w:color w:val="auto"/>
          <w:kern w:val="0"/>
          <w:sz w:val="28"/>
          <w:szCs w:val="28"/>
          <w:highlight w:val="none"/>
          <w:lang w:bidi="ar"/>
        </w:rPr>
      </w:pPr>
      <w:r>
        <w:rPr>
          <w:rFonts w:hint="eastAsia" w:ascii="仿宋" w:hAnsi="仿宋" w:eastAsia="仿宋" w:cs="仿宋"/>
          <w:b/>
          <w:bCs/>
          <w:color w:val="auto"/>
          <w:kern w:val="0"/>
          <w:sz w:val="28"/>
          <w:szCs w:val="28"/>
          <w:highlight w:val="none"/>
          <w:lang w:bidi="ar"/>
        </w:rPr>
        <w:t>第五章</w:t>
      </w:r>
      <w:r>
        <w:rPr>
          <w:rFonts w:hint="eastAsia" w:ascii="仿宋" w:hAnsi="仿宋" w:eastAsia="仿宋" w:cs="仿宋"/>
          <w:b/>
          <w:bCs/>
          <w:color w:val="auto"/>
          <w:kern w:val="0"/>
          <w:sz w:val="28"/>
          <w:szCs w:val="28"/>
          <w:highlight w:val="none"/>
          <w:lang w:val="en-US" w:eastAsia="zh-CN" w:bidi="ar"/>
        </w:rPr>
        <w:t xml:space="preserve"> </w:t>
      </w:r>
      <w:r>
        <w:rPr>
          <w:rFonts w:hint="eastAsia" w:ascii="仿宋" w:hAnsi="仿宋" w:eastAsia="仿宋" w:cs="仿宋"/>
          <w:b/>
          <w:bCs/>
          <w:color w:val="auto"/>
          <w:kern w:val="0"/>
          <w:sz w:val="28"/>
          <w:szCs w:val="28"/>
          <w:highlight w:val="none"/>
          <w:lang w:bidi="ar"/>
        </w:rPr>
        <w:t>其他</w:t>
      </w:r>
    </w:p>
    <w:p>
      <w:pPr>
        <w:widowControl/>
        <w:spacing w:line="360" w:lineRule="auto"/>
        <w:ind w:firstLine="562" w:firstLineChars="200"/>
        <w:rPr>
          <w:rFonts w:hint="eastAsia" w:ascii="仿宋" w:hAnsi="仿宋" w:eastAsia="仿宋" w:cs="仿宋"/>
          <w:color w:val="auto"/>
          <w:kern w:val="2"/>
          <w:sz w:val="28"/>
          <w:szCs w:val="28"/>
          <w:highlight w:val="none"/>
          <w:lang w:val="en-US" w:eastAsia="zh-CN" w:bidi="ar-SA"/>
        </w:rPr>
      </w:pPr>
      <w:r>
        <w:rPr>
          <w:rFonts w:hint="eastAsia" w:ascii="仿宋" w:hAnsi="仿宋" w:eastAsia="仿宋" w:cs="仿宋"/>
          <w:b/>
          <w:bCs/>
          <w:color w:val="auto"/>
          <w:kern w:val="0"/>
          <w:sz w:val="28"/>
          <w:szCs w:val="28"/>
          <w:highlight w:val="none"/>
          <w:lang w:bidi="ar"/>
        </w:rPr>
        <w:t>第十</w:t>
      </w:r>
      <w:r>
        <w:rPr>
          <w:rFonts w:hint="eastAsia" w:ascii="仿宋" w:hAnsi="仿宋" w:eastAsia="仿宋" w:cs="仿宋"/>
          <w:b/>
          <w:bCs/>
          <w:color w:val="auto"/>
          <w:kern w:val="0"/>
          <w:sz w:val="28"/>
          <w:szCs w:val="28"/>
          <w:highlight w:val="none"/>
          <w:lang w:val="en-US" w:eastAsia="zh-CN" w:bidi="ar"/>
        </w:rPr>
        <w:t>三</w:t>
      </w:r>
      <w:r>
        <w:rPr>
          <w:rFonts w:hint="eastAsia" w:ascii="仿宋" w:hAnsi="仿宋" w:eastAsia="仿宋" w:cs="仿宋"/>
          <w:b/>
          <w:bCs/>
          <w:color w:val="auto"/>
          <w:kern w:val="0"/>
          <w:sz w:val="28"/>
          <w:szCs w:val="28"/>
          <w:highlight w:val="none"/>
          <w:lang w:bidi="ar"/>
        </w:rPr>
        <w:t xml:space="preserve">条  </w:t>
      </w:r>
      <w:r>
        <w:rPr>
          <w:rFonts w:hint="eastAsia" w:ascii="仿宋" w:hAnsi="仿宋" w:eastAsia="仿宋" w:cs="仿宋"/>
          <w:kern w:val="2"/>
          <w:sz w:val="28"/>
          <w:szCs w:val="28"/>
          <w:lang w:val="en-US" w:eastAsia="zh-CN" w:bidi="ar-SA"/>
        </w:rPr>
        <w:t>本细则报黑龙江龙睿资产有限公司备案。</w:t>
      </w:r>
    </w:p>
    <w:p>
      <w:pPr>
        <w:widowControl/>
        <w:spacing w:line="360" w:lineRule="auto"/>
        <w:ind w:firstLine="562" w:firstLineChars="200"/>
        <w:rPr>
          <w:rFonts w:hint="eastAsia" w:ascii="仿宋" w:hAnsi="仿宋" w:eastAsia="仿宋" w:cs="仿宋"/>
          <w:color w:val="auto"/>
          <w:sz w:val="28"/>
          <w:szCs w:val="28"/>
          <w:highlight w:val="none"/>
        </w:rPr>
      </w:pPr>
      <w:r>
        <w:rPr>
          <w:rFonts w:hint="eastAsia" w:ascii="仿宋" w:hAnsi="仿宋" w:eastAsia="仿宋" w:cs="仿宋"/>
          <w:b/>
          <w:bCs/>
          <w:color w:val="auto"/>
          <w:kern w:val="0"/>
          <w:sz w:val="28"/>
          <w:szCs w:val="28"/>
          <w:highlight w:val="none"/>
          <w:lang w:bidi="ar"/>
        </w:rPr>
        <w:t>第十</w:t>
      </w:r>
      <w:r>
        <w:rPr>
          <w:rFonts w:hint="eastAsia" w:ascii="仿宋" w:hAnsi="仿宋" w:eastAsia="仿宋" w:cs="仿宋"/>
          <w:b/>
          <w:bCs/>
          <w:color w:val="auto"/>
          <w:kern w:val="0"/>
          <w:sz w:val="28"/>
          <w:szCs w:val="28"/>
          <w:highlight w:val="none"/>
          <w:lang w:val="en-US" w:eastAsia="zh-CN" w:bidi="ar"/>
        </w:rPr>
        <w:t>四</w:t>
      </w:r>
      <w:r>
        <w:rPr>
          <w:rFonts w:hint="eastAsia" w:ascii="仿宋" w:hAnsi="仿宋" w:eastAsia="仿宋" w:cs="仿宋"/>
          <w:b/>
          <w:bCs/>
          <w:color w:val="auto"/>
          <w:kern w:val="0"/>
          <w:sz w:val="28"/>
          <w:szCs w:val="28"/>
          <w:highlight w:val="none"/>
          <w:lang w:bidi="ar"/>
        </w:rPr>
        <w:t>条</w:t>
      </w:r>
      <w:r>
        <w:rPr>
          <w:rFonts w:hint="eastAsia" w:ascii="仿宋" w:hAnsi="仿宋" w:eastAsia="仿宋" w:cs="仿宋"/>
          <w:color w:val="auto"/>
          <w:kern w:val="0"/>
          <w:sz w:val="28"/>
          <w:szCs w:val="28"/>
          <w:highlight w:val="none"/>
          <w:lang w:bidi="ar"/>
        </w:rPr>
        <w:t xml:space="preserve">  本细则自</w:t>
      </w:r>
      <w:r>
        <w:rPr>
          <w:rFonts w:hint="eastAsia" w:ascii="仿宋" w:hAnsi="仿宋" w:eastAsia="仿宋" w:cs="仿宋"/>
          <w:color w:val="auto"/>
          <w:kern w:val="0"/>
          <w:sz w:val="28"/>
          <w:szCs w:val="28"/>
          <w:highlight w:val="none"/>
          <w:lang w:val="en-US" w:eastAsia="zh-CN" w:bidi="ar"/>
        </w:rPr>
        <w:t>下发之日</w:t>
      </w:r>
      <w:r>
        <w:rPr>
          <w:rFonts w:hint="eastAsia" w:ascii="仿宋" w:hAnsi="仿宋" w:eastAsia="仿宋" w:cs="仿宋"/>
          <w:color w:val="auto"/>
          <w:kern w:val="0"/>
          <w:sz w:val="28"/>
          <w:szCs w:val="28"/>
          <w:highlight w:val="none"/>
          <w:lang w:bidi="ar"/>
        </w:rPr>
        <w:t>起执行。</w:t>
      </w:r>
    </w:p>
    <w:p>
      <w:pPr>
        <w:spacing w:line="360" w:lineRule="auto"/>
        <w:jc w:val="right"/>
        <w:rPr>
          <w:rFonts w:hint="eastAsia" w:ascii="仿宋" w:hAnsi="仿宋" w:eastAsia="仿宋" w:cs="仿宋"/>
          <w:color w:val="auto"/>
          <w:sz w:val="28"/>
          <w:szCs w:val="28"/>
          <w:highlight w:val="none"/>
        </w:rPr>
      </w:pPr>
      <w:r>
        <w:rPr>
          <w:rFonts w:hint="eastAsia" w:ascii="仿宋" w:hAnsi="仿宋" w:eastAsia="仿宋" w:cs="仿宋"/>
          <w:b w:val="0"/>
          <w:bCs w:val="0"/>
          <w:sz w:val="28"/>
          <w:szCs w:val="28"/>
          <w:lang w:val="en-US" w:eastAsia="zh-CN"/>
        </w:rPr>
        <w:t xml:space="preserve"> 年   月   </w:t>
      </w:r>
      <w:bookmarkStart w:id="0" w:name="_GoBack"/>
      <w:bookmarkEnd w:id="0"/>
      <w:r>
        <w:rPr>
          <w:rFonts w:hint="eastAsia" w:ascii="仿宋" w:hAnsi="仿宋" w:eastAsia="仿宋" w:cs="仿宋"/>
          <w:b w:val="0"/>
          <w:bCs w:val="0"/>
          <w:sz w:val="28"/>
          <w:szCs w:val="28"/>
          <w:lang w:val="en-US" w:eastAsia="zh-CN"/>
        </w:rPr>
        <w:t>日</w:t>
      </w: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0078C7"/>
    <w:rsid w:val="04396D03"/>
    <w:rsid w:val="136D718A"/>
    <w:rsid w:val="21A62A0B"/>
    <w:rsid w:val="299D7538"/>
    <w:rsid w:val="2D833EBB"/>
    <w:rsid w:val="356E2F82"/>
    <w:rsid w:val="37182C2D"/>
    <w:rsid w:val="3DB9742D"/>
    <w:rsid w:val="423D5987"/>
    <w:rsid w:val="4BFD0A7A"/>
    <w:rsid w:val="4C505AF6"/>
    <w:rsid w:val="61694834"/>
    <w:rsid w:val="65045D79"/>
    <w:rsid w:val="71FD34D8"/>
    <w:rsid w:val="72405615"/>
    <w:rsid w:val="74D33B31"/>
    <w:rsid w:val="7B1D38B3"/>
    <w:rsid w:val="7FDF5A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7">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☄ฺ(◣д◢)☄ฺ</cp:lastModifiedBy>
  <dcterms:modified xsi:type="dcterms:W3CDTF">2020-10-27T01:50:15Z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