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40"/>
          <w:szCs w:val="40"/>
          <w:highlight w:val="none"/>
          <w:lang w:val="en-US" w:eastAsia="zh-CN"/>
        </w:rPr>
      </w:pPr>
      <w:r>
        <w:rPr>
          <w:rFonts w:hint="eastAsia" w:ascii="仿宋" w:hAnsi="仿宋" w:eastAsia="仿宋" w:cs="仿宋"/>
          <w:color w:val="auto"/>
          <w:sz w:val="40"/>
          <w:szCs w:val="40"/>
          <w:highlight w:val="none"/>
          <w:lang w:val="en-US" w:eastAsia="zh-CN"/>
        </w:rPr>
        <w:t>睿采交易云平台竞争磋商采购</w:t>
      </w:r>
    </w:p>
    <w:p>
      <w:pPr>
        <w:pStyle w:val="2"/>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40"/>
          <w:szCs w:val="40"/>
          <w:highlight w:val="none"/>
        </w:rPr>
      </w:pPr>
      <w:r>
        <w:rPr>
          <w:rFonts w:hint="eastAsia" w:ascii="仿宋" w:hAnsi="仿宋" w:eastAsia="仿宋" w:cs="仿宋"/>
          <w:color w:val="auto"/>
          <w:sz w:val="40"/>
          <w:szCs w:val="40"/>
          <w:highlight w:val="none"/>
        </w:rPr>
        <w:t>实施细则(试行)</w:t>
      </w:r>
    </w:p>
    <w:p>
      <w:pPr>
        <w:pStyle w:val="2"/>
        <w:numPr>
          <w:ilvl w:val="0"/>
          <w:numId w:val="0"/>
        </w:numPr>
        <w:bidi w:val="0"/>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 xml:space="preserve">第一章 </w:t>
      </w:r>
      <w:r>
        <w:rPr>
          <w:rFonts w:hint="eastAsia" w:ascii="仿宋" w:hAnsi="仿宋" w:eastAsia="仿宋" w:cs="仿宋"/>
          <w:b/>
          <w:bCs/>
          <w:color w:val="auto"/>
          <w:sz w:val="28"/>
          <w:szCs w:val="28"/>
          <w:highlight w:val="none"/>
        </w:rPr>
        <w:t>总则</w:t>
      </w:r>
    </w:p>
    <w:p>
      <w:pPr>
        <w:numPr>
          <w:ilvl w:val="0"/>
          <w:numId w:val="0"/>
        </w:numPr>
        <w:spacing w:line="360" w:lineRule="auto"/>
        <w:ind w:firstLine="562" w:firstLineChars="200"/>
        <w:jc w:val="both"/>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第一条</w:t>
      </w:r>
      <w:r>
        <w:rPr>
          <w:rFonts w:hint="eastAsia" w:ascii="仿宋" w:hAnsi="仿宋" w:eastAsia="仿宋" w:cs="仿宋"/>
          <w:b w:val="0"/>
          <w:bCs w:val="0"/>
          <w:color w:val="auto"/>
          <w:sz w:val="28"/>
          <w:szCs w:val="28"/>
          <w:highlight w:val="none"/>
          <w:lang w:val="en-US" w:eastAsia="zh-CN"/>
        </w:rPr>
        <w:t xml:space="preserve"> 根据《黑龙江省国资委出资企业阳光采购监督指导意见》、及《国有企业采购操作规范》(T/CFLP0016-2019)的有关规定,制定本细则。</w:t>
      </w:r>
    </w:p>
    <w:p>
      <w:pPr>
        <w:pStyle w:val="7"/>
        <w:keepNext w:val="0"/>
        <w:keepLines w:val="0"/>
        <w:pageBreakBefore w:val="0"/>
        <w:widowControl w:val="0"/>
        <w:tabs>
          <w:tab w:val="left" w:pos="1843"/>
        </w:tabs>
        <w:kinsoku/>
        <w:wordWrap/>
        <w:overflowPunct/>
        <w:topLinePunct w:val="0"/>
        <w:autoSpaceDE/>
        <w:autoSpaceDN/>
        <w:bidi w:val="0"/>
        <w:adjustRightInd/>
        <w:snapToGrid/>
        <w:spacing w:line="360" w:lineRule="auto"/>
        <w:ind w:left="0" w:leftChars="0" w:firstLine="562"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rPr>
        <w:t xml:space="preserve">第二条 </w:t>
      </w:r>
      <w:r>
        <w:rPr>
          <w:rFonts w:hint="eastAsia" w:ascii="仿宋" w:hAnsi="仿宋" w:eastAsia="仿宋" w:cs="仿宋"/>
          <w:color w:val="auto"/>
          <w:sz w:val="28"/>
          <w:szCs w:val="28"/>
          <w:highlight w:val="none"/>
        </w:rPr>
        <w:t>本办法适用</w:t>
      </w:r>
      <w:r>
        <w:rPr>
          <w:rFonts w:hint="eastAsia" w:ascii="仿宋" w:hAnsi="仿宋" w:eastAsia="仿宋" w:cs="仿宋"/>
          <w:color w:val="auto"/>
          <w:kern w:val="2"/>
          <w:sz w:val="28"/>
          <w:szCs w:val="28"/>
          <w:highlight w:val="none"/>
          <w:lang w:val="en-US" w:eastAsia="zh-CN" w:bidi="ar-SA"/>
        </w:rPr>
        <w:t>通过</w:t>
      </w:r>
      <w:r>
        <w:rPr>
          <w:rFonts w:hint="eastAsia" w:ascii="仿宋" w:hAnsi="仿宋" w:eastAsia="仿宋" w:cs="仿宋"/>
          <w:color w:val="auto"/>
          <w:sz w:val="28"/>
          <w:szCs w:val="28"/>
          <w:highlight w:val="none"/>
          <w:lang w:val="en-US" w:eastAsia="zh-CN"/>
        </w:rPr>
        <w:t>睿采交易云平台竞争磋商</w:t>
      </w:r>
      <w:r>
        <w:rPr>
          <w:rFonts w:hint="eastAsia" w:ascii="仿宋" w:hAnsi="仿宋" w:eastAsia="仿宋" w:cs="仿宋"/>
          <w:color w:val="auto"/>
          <w:kern w:val="2"/>
          <w:sz w:val="28"/>
          <w:szCs w:val="28"/>
          <w:highlight w:val="none"/>
          <w:lang w:val="en-US" w:eastAsia="zh-CN" w:bidi="ar-SA"/>
        </w:rPr>
        <w:t>采购方式开展非依法必须招标项目的采购活动。</w:t>
      </w:r>
    </w:p>
    <w:p>
      <w:pPr>
        <w:keepNext w:val="0"/>
        <w:keepLines w:val="0"/>
        <w:pageBreakBefore w:val="0"/>
        <w:widowControl w:val="0"/>
        <w:kinsoku/>
        <w:wordWrap/>
        <w:overflowPunct/>
        <w:topLinePunct w:val="0"/>
        <w:autoSpaceDE/>
        <w:autoSpaceDN/>
        <w:bidi w:val="0"/>
        <w:adjustRightInd/>
        <w:snapToGrid/>
        <w:spacing w:line="360" w:lineRule="auto"/>
        <w:ind w:right="-92" w:rightChars="-44" w:firstLine="562"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rPr>
        <w:t>第三条</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竞争磋商是指采购需求模糊或需要征求意向供应商意见的复杂项目且具备一定竞争条件,</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与符合条件的意向供应商就采购工程、货物和服务事宜进行讨论对话、谈判磋商,最终完善、确定竞争磋商采购文件和合同条款,</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依据磋商小组评审后提交的磋商报告和谈判顺序,与意向供应商依次进行财务谈判,最先达成协议的意向供应商为成交供应商的</w:t>
      </w:r>
      <w:r>
        <w:rPr>
          <w:rFonts w:hint="eastAsia" w:ascii="仿宋" w:hAnsi="仿宋" w:eastAsia="仿宋" w:cs="仿宋"/>
          <w:color w:val="auto"/>
          <w:sz w:val="28"/>
          <w:szCs w:val="28"/>
          <w:highlight w:val="none"/>
          <w:lang w:eastAsia="zh-CN"/>
        </w:rPr>
        <w:t>采购</w:t>
      </w:r>
      <w:r>
        <w:rPr>
          <w:rFonts w:hint="eastAsia" w:ascii="仿宋" w:hAnsi="仿宋" w:eastAsia="仿宋" w:cs="仿宋"/>
          <w:color w:val="auto"/>
          <w:sz w:val="28"/>
          <w:szCs w:val="28"/>
          <w:highlight w:val="none"/>
          <w:lang w:val="en-US" w:eastAsia="zh-CN"/>
        </w:rPr>
        <w:t>方</w:t>
      </w:r>
      <w:r>
        <w:rPr>
          <w:rFonts w:hint="eastAsia" w:ascii="仿宋" w:hAnsi="仿宋" w:eastAsia="仿宋" w:cs="仿宋"/>
          <w:color w:val="auto"/>
          <w:sz w:val="28"/>
          <w:szCs w:val="28"/>
          <w:highlight w:val="none"/>
        </w:rPr>
        <w:t>式。竞争磋商应符合下列条件之</w:t>
      </w:r>
      <w:r>
        <w:rPr>
          <w:rFonts w:hint="eastAsia" w:ascii="仿宋" w:hAnsi="仿宋" w:eastAsia="仿宋" w:cs="仿宋"/>
          <w:color w:val="auto"/>
          <w:sz w:val="28"/>
          <w:szCs w:val="28"/>
          <w:highlight w:val="none"/>
          <w:lang w:val="en-US" w:eastAsia="zh-CN"/>
        </w:rPr>
        <w:t>一：</w:t>
      </w:r>
    </w:p>
    <w:p>
      <w:pPr>
        <w:keepNext w:val="0"/>
        <w:keepLines w:val="0"/>
        <w:pageBreakBefore w:val="0"/>
        <w:widowControl w:val="0"/>
        <w:kinsoku/>
        <w:wordWrap/>
        <w:overflowPunct/>
        <w:topLinePunct w:val="0"/>
        <w:autoSpaceDE/>
        <w:autoSpaceDN/>
        <w:bidi w:val="0"/>
        <w:adjustRightInd/>
        <w:snapToGrid/>
        <w:spacing w:line="360" w:lineRule="auto"/>
        <w:ind w:right="-92" w:rightChars="-44"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(一)采购需求只能提出功能性指标或相对宽泛的技术规格,需要和意向供应商讨论的项目采购。</w:t>
      </w:r>
    </w:p>
    <w:p>
      <w:pPr>
        <w:keepNext w:val="0"/>
        <w:keepLines w:val="0"/>
        <w:pageBreakBefore w:val="0"/>
        <w:widowControl w:val="0"/>
        <w:kinsoku/>
        <w:wordWrap/>
        <w:overflowPunct/>
        <w:topLinePunct w:val="0"/>
        <w:autoSpaceDE/>
        <w:autoSpaceDN/>
        <w:bidi w:val="0"/>
        <w:adjustRightInd/>
        <w:snapToGrid/>
        <w:spacing w:line="360" w:lineRule="auto"/>
        <w:ind w:right="-92" w:rightChars="-44"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(二)采购目标总体明确但可以有不同路径和方案实现,</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需要和意向供应商通过对话确定最优采购路径方案并选择最符合</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需要的项目采购。</w:t>
      </w:r>
    </w:p>
    <w:p>
      <w:pPr>
        <w:keepNext w:val="0"/>
        <w:keepLines w:val="0"/>
        <w:pageBreakBefore w:val="0"/>
        <w:widowControl w:val="0"/>
        <w:kinsoku/>
        <w:wordWrap/>
        <w:overflowPunct/>
        <w:topLinePunct w:val="0"/>
        <w:autoSpaceDE/>
        <w:autoSpaceDN/>
        <w:bidi w:val="0"/>
        <w:adjustRightInd/>
        <w:snapToGrid/>
        <w:spacing w:line="360" w:lineRule="auto"/>
        <w:ind w:right="-92" w:rightChars="-44"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(三)大型复杂项目确定</w:t>
      </w:r>
      <w:r>
        <w:rPr>
          <w:rFonts w:hint="eastAsia" w:ascii="仿宋" w:hAnsi="仿宋" w:eastAsia="仿宋" w:cs="仿宋"/>
          <w:color w:val="auto"/>
          <w:sz w:val="28"/>
          <w:szCs w:val="28"/>
          <w:highlight w:val="none"/>
          <w:lang w:eastAsia="zh-CN"/>
        </w:rPr>
        <w:t>采购</w:t>
      </w:r>
      <w:r>
        <w:rPr>
          <w:rFonts w:hint="eastAsia" w:ascii="仿宋" w:hAnsi="仿宋" w:eastAsia="仿宋" w:cs="仿宋"/>
          <w:color w:val="auto"/>
          <w:sz w:val="28"/>
          <w:szCs w:val="28"/>
          <w:highlight w:val="none"/>
          <w:lang w:val="en-US" w:eastAsia="zh-CN"/>
        </w:rPr>
        <w:t>方</w:t>
      </w:r>
      <w:r>
        <w:rPr>
          <w:rFonts w:hint="eastAsia" w:ascii="仿宋" w:hAnsi="仿宋" w:eastAsia="仿宋" w:cs="仿宋"/>
          <w:color w:val="auto"/>
          <w:sz w:val="28"/>
          <w:szCs w:val="28"/>
          <w:highlight w:val="none"/>
        </w:rPr>
        <w:t>案后需要对财务指标谈判的项目采购。</w:t>
      </w:r>
    </w:p>
    <w:p>
      <w:pPr>
        <w:keepNext w:val="0"/>
        <w:keepLines w:val="0"/>
        <w:pageBreakBefore w:val="0"/>
        <w:widowControl w:val="0"/>
        <w:kinsoku/>
        <w:wordWrap/>
        <w:overflowPunct/>
        <w:topLinePunct w:val="0"/>
        <w:autoSpaceDE/>
        <w:autoSpaceDN/>
        <w:bidi w:val="0"/>
        <w:adjustRightInd/>
        <w:snapToGrid/>
        <w:spacing w:after="157" w:afterLines="50" w:line="360" w:lineRule="auto"/>
        <w:ind w:right="0" w:rightChars="0" w:firstLine="562" w:firstLineChars="200"/>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第二章</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b/>
          <w:bCs/>
          <w:color w:val="auto"/>
          <w:sz w:val="28"/>
          <w:szCs w:val="28"/>
          <w:highlight w:val="none"/>
        </w:rPr>
        <w:t>发布采购公告及意向供应商报名</w:t>
      </w:r>
    </w:p>
    <w:p>
      <w:pPr>
        <w:keepNext w:val="0"/>
        <w:keepLines w:val="0"/>
        <w:pageBreakBefore w:val="0"/>
        <w:widowControl w:val="0"/>
        <w:kinsoku/>
        <w:wordWrap/>
        <w:overflowPunct/>
        <w:topLinePunct w:val="0"/>
        <w:autoSpaceDE/>
        <w:autoSpaceDN/>
        <w:bidi w:val="0"/>
        <w:adjustRightInd/>
        <w:snapToGrid/>
        <w:spacing w:line="360" w:lineRule="auto"/>
        <w:ind w:right="-92" w:rightChars="-44" w:firstLine="562"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b/>
          <w:bCs/>
          <w:color w:val="auto"/>
          <w:sz w:val="28"/>
          <w:szCs w:val="28"/>
          <w:highlight w:val="none"/>
        </w:rPr>
        <w:t>第</w:t>
      </w:r>
      <w:r>
        <w:rPr>
          <w:rFonts w:hint="eastAsia" w:ascii="仿宋" w:hAnsi="仿宋" w:eastAsia="仿宋" w:cs="仿宋"/>
          <w:b/>
          <w:bCs/>
          <w:color w:val="auto"/>
          <w:sz w:val="28"/>
          <w:szCs w:val="28"/>
          <w:highlight w:val="none"/>
          <w:lang w:val="en-US" w:eastAsia="zh-CN"/>
        </w:rPr>
        <w:t>四</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应编制磋商采购公告通过</w:t>
      </w:r>
      <w:r>
        <w:rPr>
          <w:rFonts w:hint="eastAsia" w:ascii="仿宋" w:hAnsi="仿宋" w:eastAsia="仿宋" w:cs="仿宋"/>
          <w:color w:val="auto"/>
          <w:sz w:val="28"/>
          <w:szCs w:val="28"/>
          <w:highlight w:val="none"/>
          <w:lang w:eastAsia="zh-CN"/>
        </w:rPr>
        <w:t>睿采交易云平台</w:t>
      </w:r>
      <w:r>
        <w:rPr>
          <w:rFonts w:hint="eastAsia" w:ascii="仿宋" w:hAnsi="仿宋" w:eastAsia="仿宋" w:cs="仿宋"/>
          <w:color w:val="auto"/>
          <w:sz w:val="28"/>
          <w:szCs w:val="28"/>
          <w:highlight w:val="none"/>
        </w:rPr>
        <w:t>发布。磋商采购公告内容包括但不限于以下内容</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right="-92" w:rightChars="-44"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en-US" w:eastAsia="zh-CN"/>
        </w:rPr>
        <w:t>一）</w:t>
      </w:r>
      <w:r>
        <w:rPr>
          <w:rFonts w:hint="eastAsia" w:ascii="仿宋" w:hAnsi="仿宋" w:eastAsia="仿宋" w:cs="仿宋"/>
          <w:color w:val="auto"/>
          <w:sz w:val="28"/>
          <w:szCs w:val="28"/>
          <w:highlight w:val="none"/>
        </w:rPr>
        <w:t>项目名称、标的内容、数量、范围、规模、实施地点、时间;</w:t>
      </w:r>
    </w:p>
    <w:p>
      <w:pPr>
        <w:keepNext w:val="0"/>
        <w:keepLines w:val="0"/>
        <w:pageBreakBefore w:val="0"/>
        <w:widowControl w:val="0"/>
        <w:kinsoku/>
        <w:wordWrap/>
        <w:overflowPunct/>
        <w:topLinePunct w:val="0"/>
        <w:autoSpaceDE/>
        <w:autoSpaceDN/>
        <w:bidi w:val="0"/>
        <w:adjustRightInd/>
        <w:snapToGrid/>
        <w:spacing w:line="360" w:lineRule="auto"/>
        <w:ind w:right="-92" w:rightChars="-44"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(二)</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eastAsia="zh-CN"/>
        </w:rPr>
        <w:t>采购</w:t>
      </w:r>
      <w:r>
        <w:rPr>
          <w:rFonts w:hint="eastAsia" w:ascii="仿宋" w:hAnsi="仿宋" w:eastAsia="仿宋" w:cs="仿宋"/>
          <w:color w:val="auto"/>
          <w:sz w:val="28"/>
          <w:szCs w:val="28"/>
          <w:highlight w:val="none"/>
          <w:lang w:val="en-US" w:eastAsia="zh-CN"/>
        </w:rPr>
        <w:t>方</w:t>
      </w:r>
      <w:r>
        <w:rPr>
          <w:rFonts w:hint="eastAsia" w:ascii="仿宋" w:hAnsi="仿宋" w:eastAsia="仿宋" w:cs="仿宋"/>
          <w:color w:val="auto"/>
          <w:sz w:val="28"/>
          <w:szCs w:val="28"/>
          <w:highlight w:val="none"/>
        </w:rPr>
        <w:t>式、采购预算</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right="-92" w:rightChars="-44"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(三)</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意向供应商资格条件,以及是否接受联合体投标;</w:t>
      </w:r>
    </w:p>
    <w:p>
      <w:pPr>
        <w:keepNext w:val="0"/>
        <w:keepLines w:val="0"/>
        <w:pageBreakBefore w:val="0"/>
        <w:widowControl w:val="0"/>
        <w:kinsoku/>
        <w:wordWrap/>
        <w:overflowPunct/>
        <w:topLinePunct w:val="0"/>
        <w:autoSpaceDE/>
        <w:autoSpaceDN/>
        <w:bidi w:val="0"/>
        <w:adjustRightInd/>
        <w:snapToGrid/>
        <w:spacing w:line="360" w:lineRule="auto"/>
        <w:ind w:right="-92" w:rightChars="-44"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(四)</w:t>
      </w:r>
      <w:r>
        <w:rPr>
          <w:rFonts w:hint="eastAsia" w:ascii="仿宋" w:hAnsi="仿宋" w:eastAsia="仿宋" w:cs="仿宋"/>
          <w:color w:val="auto"/>
          <w:sz w:val="28"/>
          <w:szCs w:val="28"/>
          <w:highlight w:val="none"/>
          <w:lang w:val="en-US" w:eastAsia="zh-CN"/>
        </w:rPr>
        <w:t xml:space="preserve"> 采购保证金</w:t>
      </w:r>
      <w:r>
        <w:rPr>
          <w:rFonts w:hint="eastAsia" w:ascii="仿宋" w:hAnsi="仿宋" w:eastAsia="仿宋" w:cs="仿宋"/>
          <w:color w:val="auto"/>
          <w:sz w:val="28"/>
          <w:szCs w:val="28"/>
          <w:highlight w:val="none"/>
        </w:rPr>
        <w:t>的金额、交纳时间、方式和要求;</w:t>
      </w:r>
    </w:p>
    <w:p>
      <w:pPr>
        <w:keepNext w:val="0"/>
        <w:keepLines w:val="0"/>
        <w:pageBreakBefore w:val="0"/>
        <w:widowControl w:val="0"/>
        <w:kinsoku/>
        <w:wordWrap/>
        <w:overflowPunct/>
        <w:topLinePunct w:val="0"/>
        <w:autoSpaceDE/>
        <w:autoSpaceDN/>
        <w:bidi w:val="0"/>
        <w:adjustRightInd/>
        <w:snapToGrid/>
        <w:spacing w:line="360" w:lineRule="auto"/>
        <w:ind w:right="-92" w:rightChars="-44"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(五)</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通过</w:t>
      </w:r>
      <w:r>
        <w:rPr>
          <w:rFonts w:hint="eastAsia" w:ascii="仿宋" w:hAnsi="仿宋" w:eastAsia="仿宋" w:cs="仿宋"/>
          <w:color w:val="auto"/>
          <w:sz w:val="28"/>
          <w:szCs w:val="28"/>
          <w:highlight w:val="none"/>
          <w:lang w:eastAsia="zh-CN"/>
        </w:rPr>
        <w:t>睿采交易云平台</w:t>
      </w:r>
      <w:r>
        <w:rPr>
          <w:rFonts w:hint="eastAsia" w:ascii="仿宋" w:hAnsi="仿宋" w:eastAsia="仿宋" w:cs="仿宋"/>
          <w:color w:val="auto"/>
          <w:sz w:val="28"/>
          <w:szCs w:val="28"/>
          <w:highlight w:val="none"/>
        </w:rPr>
        <w:t>报名及获取竞争磋商采购文件的时间、方式</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right="-92" w:rightChars="-44"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lang w:val="en-US" w:eastAsia="zh-CN"/>
        </w:rPr>
        <w:t>(</w:t>
      </w:r>
      <w:r>
        <w:rPr>
          <w:rFonts w:hint="eastAsia" w:ascii="仿宋" w:hAnsi="仿宋" w:eastAsia="仿宋" w:cs="仿宋"/>
          <w:color w:val="auto"/>
          <w:sz w:val="28"/>
          <w:szCs w:val="28"/>
          <w:highlight w:val="none"/>
        </w:rPr>
        <w:t>六)</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递交响应文件的截止时间、地点</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right="-92" w:rightChars="-44"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(七)</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磋商时间、地点;</w:t>
      </w:r>
    </w:p>
    <w:p>
      <w:pPr>
        <w:keepNext w:val="0"/>
        <w:keepLines w:val="0"/>
        <w:pageBreakBefore w:val="0"/>
        <w:widowControl w:val="0"/>
        <w:kinsoku/>
        <w:wordWrap/>
        <w:overflowPunct/>
        <w:topLinePunct w:val="0"/>
        <w:autoSpaceDE/>
        <w:autoSpaceDN/>
        <w:bidi w:val="0"/>
        <w:adjustRightInd/>
        <w:snapToGrid/>
        <w:spacing w:line="360" w:lineRule="auto"/>
        <w:ind w:right="-92" w:rightChars="-44"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(八)</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的名称、地址、联系</w:t>
      </w:r>
      <w:r>
        <w:rPr>
          <w:rFonts w:hint="eastAsia" w:ascii="仿宋" w:hAnsi="仿宋" w:eastAsia="仿宋" w:cs="仿宋"/>
          <w:color w:val="auto"/>
          <w:sz w:val="28"/>
          <w:szCs w:val="28"/>
          <w:highlight w:val="none"/>
          <w:lang w:val="en-US" w:eastAsia="zh-CN"/>
        </w:rPr>
        <w:t>人</w:t>
      </w:r>
      <w:r>
        <w:rPr>
          <w:rFonts w:hint="eastAsia" w:ascii="仿宋" w:hAnsi="仿宋" w:eastAsia="仿宋" w:cs="仿宋"/>
          <w:color w:val="auto"/>
          <w:sz w:val="28"/>
          <w:szCs w:val="28"/>
          <w:highlight w:val="none"/>
        </w:rPr>
        <w:t>及联系方式;</w:t>
      </w:r>
    </w:p>
    <w:p>
      <w:pPr>
        <w:keepNext w:val="0"/>
        <w:keepLines w:val="0"/>
        <w:pageBreakBefore w:val="0"/>
        <w:widowControl w:val="0"/>
        <w:kinsoku/>
        <w:wordWrap/>
        <w:overflowPunct/>
        <w:topLinePunct w:val="0"/>
        <w:autoSpaceDE/>
        <w:autoSpaceDN/>
        <w:bidi w:val="0"/>
        <w:adjustRightInd/>
        <w:snapToGrid/>
        <w:spacing w:line="360" w:lineRule="auto"/>
        <w:ind w:right="-92" w:rightChars="-44"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(九)</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其他应当载明的内容。</w:t>
      </w:r>
      <w:r>
        <w:rPr>
          <w:rFonts w:hint="eastAsia" w:ascii="仿宋" w:hAnsi="仿宋" w:eastAsia="仿宋" w:cs="仿宋"/>
          <w:color w:val="auto"/>
          <w:sz w:val="28"/>
          <w:szCs w:val="28"/>
          <w:highlight w:val="none"/>
          <w:lang w:eastAsia="zh-CN"/>
        </w:rPr>
        <w:t xml:space="preserve">   </w:t>
      </w:r>
    </w:p>
    <w:p>
      <w:pPr>
        <w:keepNext w:val="0"/>
        <w:keepLines w:val="0"/>
        <w:pageBreakBefore w:val="0"/>
        <w:widowControl w:val="0"/>
        <w:kinsoku/>
        <w:wordWrap/>
        <w:overflowPunct/>
        <w:topLinePunct w:val="0"/>
        <w:autoSpaceDE/>
        <w:autoSpaceDN/>
        <w:bidi w:val="0"/>
        <w:adjustRightInd/>
        <w:snapToGrid/>
        <w:spacing w:line="360" w:lineRule="auto"/>
        <w:ind w:right="-92" w:rightChars="-44"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邀请指定的意向供应商参与的竞争磋商采购项目</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应向被邀请的意向供应商发送邀请函,并通过</w:t>
      </w:r>
      <w:r>
        <w:rPr>
          <w:rFonts w:hint="eastAsia" w:ascii="仿宋" w:hAnsi="仿宋" w:eastAsia="仿宋" w:cs="仿宋"/>
          <w:color w:val="auto"/>
          <w:sz w:val="28"/>
          <w:szCs w:val="28"/>
          <w:highlight w:val="none"/>
          <w:lang w:eastAsia="zh-CN"/>
        </w:rPr>
        <w:t>睿采交易云平台</w:t>
      </w:r>
      <w:r>
        <w:rPr>
          <w:rFonts w:hint="eastAsia" w:ascii="仿宋" w:hAnsi="仿宋" w:eastAsia="仿宋" w:cs="仿宋"/>
          <w:color w:val="auto"/>
          <w:sz w:val="28"/>
          <w:szCs w:val="28"/>
          <w:highlight w:val="none"/>
        </w:rPr>
        <w:t>发布邀请公告,邀请公告内容参照采购公告</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right="-92" w:rightChars="-44" w:firstLine="562" w:firstLineChars="200"/>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w:t>
      </w:r>
      <w:r>
        <w:rPr>
          <w:rFonts w:hint="eastAsia" w:ascii="仿宋" w:hAnsi="仿宋" w:eastAsia="仿宋" w:cs="仿宋"/>
          <w:b/>
          <w:bCs/>
          <w:color w:val="auto"/>
          <w:sz w:val="28"/>
          <w:szCs w:val="28"/>
          <w:highlight w:val="none"/>
          <w:lang w:val="en-US" w:eastAsia="zh-CN"/>
        </w:rPr>
        <w:t>五</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根据竞争磋商项目特点和需要合理编制竞争磋商采购文件,并将数据电文形式的竞争磋商采购文件加载至</w:t>
      </w:r>
      <w:r>
        <w:rPr>
          <w:rFonts w:hint="eastAsia" w:ascii="仿宋" w:hAnsi="仿宋" w:eastAsia="仿宋" w:cs="仿宋"/>
          <w:color w:val="auto"/>
          <w:sz w:val="28"/>
          <w:szCs w:val="28"/>
          <w:highlight w:val="none"/>
          <w:lang w:eastAsia="zh-CN"/>
        </w:rPr>
        <w:t>睿采交易云平台</w:t>
      </w:r>
      <w:r>
        <w:rPr>
          <w:rFonts w:hint="eastAsia" w:ascii="仿宋" w:hAnsi="仿宋" w:eastAsia="仿宋" w:cs="仿宋"/>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spacing w:line="360" w:lineRule="auto"/>
        <w:ind w:right="-92" w:rightChars="-44" w:firstLine="562" w:firstLineChars="200"/>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w:t>
      </w:r>
      <w:r>
        <w:rPr>
          <w:rFonts w:hint="eastAsia" w:ascii="仿宋" w:hAnsi="仿宋" w:eastAsia="仿宋" w:cs="仿宋"/>
          <w:b/>
          <w:bCs/>
          <w:color w:val="auto"/>
          <w:sz w:val="28"/>
          <w:szCs w:val="28"/>
          <w:highlight w:val="none"/>
          <w:lang w:val="en-US" w:eastAsia="zh-CN"/>
        </w:rPr>
        <w:t>六</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应依照磋商采购公告或邀请函规定的时间、方式通过</w:t>
      </w:r>
      <w:r>
        <w:rPr>
          <w:rFonts w:hint="eastAsia" w:ascii="仿宋" w:hAnsi="仿宋" w:eastAsia="仿宋" w:cs="仿宋"/>
          <w:color w:val="auto"/>
          <w:sz w:val="28"/>
          <w:szCs w:val="28"/>
          <w:highlight w:val="none"/>
          <w:lang w:eastAsia="zh-CN"/>
        </w:rPr>
        <w:t>睿采交易云平台</w:t>
      </w:r>
      <w:r>
        <w:rPr>
          <w:rFonts w:hint="eastAsia" w:ascii="仿宋" w:hAnsi="仿宋" w:eastAsia="仿宋" w:cs="仿宋"/>
          <w:color w:val="auto"/>
          <w:sz w:val="28"/>
          <w:szCs w:val="28"/>
          <w:highlight w:val="none"/>
        </w:rPr>
        <w:t>发售竞争磋商采购文件。竟争磋商发售期不少于5日。</w:t>
      </w:r>
    </w:p>
    <w:p>
      <w:pPr>
        <w:keepNext w:val="0"/>
        <w:keepLines w:val="0"/>
        <w:pageBreakBefore w:val="0"/>
        <w:widowControl w:val="0"/>
        <w:kinsoku/>
        <w:wordWrap/>
        <w:overflowPunct/>
        <w:topLinePunct w:val="0"/>
        <w:autoSpaceDE/>
        <w:autoSpaceDN/>
        <w:bidi w:val="0"/>
        <w:adjustRightInd/>
        <w:snapToGrid/>
        <w:spacing w:line="360" w:lineRule="auto"/>
        <w:ind w:right="-92" w:rightChars="-44" w:firstLine="560" w:firstLineChars="200"/>
        <w:textAlignment w:val="auto"/>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意向供应商应按照磋商采购公告或邀请函规定的时间、方式通过</w:t>
      </w:r>
      <w:r>
        <w:rPr>
          <w:rFonts w:hint="eastAsia" w:ascii="仿宋" w:hAnsi="仿宋" w:eastAsia="仿宋" w:cs="仿宋"/>
          <w:color w:val="auto"/>
          <w:sz w:val="28"/>
          <w:szCs w:val="28"/>
          <w:highlight w:val="none"/>
          <w:lang w:eastAsia="zh-CN"/>
        </w:rPr>
        <w:t>睿采交易云平台</w:t>
      </w:r>
      <w:r>
        <w:rPr>
          <w:rFonts w:hint="eastAsia" w:ascii="仿宋" w:hAnsi="仿宋" w:eastAsia="仿宋" w:cs="仿宋"/>
          <w:color w:val="auto"/>
          <w:sz w:val="28"/>
          <w:szCs w:val="28"/>
          <w:highlight w:val="none"/>
        </w:rPr>
        <w:t>注册、报名及获取竞争磋商采购文件。</w:t>
      </w:r>
    </w:p>
    <w:p>
      <w:pPr>
        <w:keepNext w:val="0"/>
        <w:keepLines w:val="0"/>
        <w:pageBreakBefore w:val="0"/>
        <w:widowControl w:val="0"/>
        <w:kinsoku/>
        <w:wordWrap/>
        <w:overflowPunct/>
        <w:topLinePunct w:val="0"/>
        <w:autoSpaceDE/>
        <w:autoSpaceDN/>
        <w:bidi w:val="0"/>
        <w:adjustRightInd/>
        <w:snapToGrid/>
        <w:spacing w:line="360" w:lineRule="auto"/>
        <w:ind w:left="0" w:leftChars="0" w:right="-92" w:rightChars="-44" w:firstLine="562" w:firstLineChars="200"/>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w:t>
      </w:r>
      <w:r>
        <w:rPr>
          <w:rFonts w:hint="eastAsia" w:ascii="仿宋" w:hAnsi="仿宋" w:eastAsia="仿宋" w:cs="仿宋"/>
          <w:b/>
          <w:bCs/>
          <w:color w:val="auto"/>
          <w:sz w:val="28"/>
          <w:szCs w:val="28"/>
          <w:highlight w:val="none"/>
          <w:lang w:val="en-US" w:eastAsia="zh-CN"/>
        </w:rPr>
        <w:t>七</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在竞争磋商采购文件中要求意向供应商交纳</w:t>
      </w:r>
      <w:r>
        <w:rPr>
          <w:rFonts w:hint="eastAsia" w:ascii="仿宋" w:hAnsi="仿宋" w:eastAsia="仿宋" w:cs="仿宋"/>
          <w:color w:val="auto"/>
          <w:sz w:val="28"/>
          <w:szCs w:val="28"/>
          <w:highlight w:val="none"/>
          <w:lang w:val="en-US" w:eastAsia="zh-CN"/>
        </w:rPr>
        <w:t>采购保证金</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eastAsia="zh-CN"/>
        </w:rPr>
        <w:t>采购保证金</w:t>
      </w:r>
      <w:r>
        <w:rPr>
          <w:rFonts w:hint="eastAsia" w:ascii="仿宋" w:hAnsi="仿宋" w:eastAsia="仿宋" w:cs="仿宋"/>
          <w:color w:val="auto"/>
          <w:sz w:val="28"/>
          <w:szCs w:val="28"/>
          <w:highlight w:val="none"/>
        </w:rPr>
        <w:t>不超过采购预算的</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，最低不少于</w:t>
      </w:r>
      <w:r>
        <w:rPr>
          <w:rFonts w:hint="eastAsia" w:ascii="仿宋" w:hAnsi="仿宋" w:eastAsia="仿宋" w:cs="仿宋"/>
          <w:color w:val="auto"/>
          <w:sz w:val="28"/>
          <w:szCs w:val="28"/>
          <w:highlight w:val="none"/>
          <w:lang w:val="en-US" w:eastAsia="zh-CN"/>
        </w:rPr>
        <w:t>1000元</w:t>
      </w:r>
      <w:r>
        <w:rPr>
          <w:rFonts w:hint="eastAsia" w:ascii="仿宋" w:hAnsi="仿宋" w:eastAsia="仿宋" w:cs="仿宋"/>
          <w:color w:val="auto"/>
          <w:sz w:val="28"/>
          <w:szCs w:val="28"/>
          <w:highlight w:val="none"/>
        </w:rPr>
        <w:t>。意向供应商应当按照竞争磋商采购文件要求,将</w:t>
      </w:r>
      <w:r>
        <w:rPr>
          <w:rFonts w:hint="eastAsia" w:ascii="仿宋" w:hAnsi="仿宋" w:eastAsia="仿宋" w:cs="仿宋"/>
          <w:color w:val="auto"/>
          <w:sz w:val="28"/>
          <w:szCs w:val="28"/>
          <w:highlight w:val="none"/>
          <w:lang w:eastAsia="zh-CN"/>
        </w:rPr>
        <w:t>采购保证金</w:t>
      </w:r>
      <w:r>
        <w:rPr>
          <w:rFonts w:hint="eastAsia" w:ascii="仿宋" w:hAnsi="仿宋" w:eastAsia="仿宋" w:cs="仿宋"/>
          <w:color w:val="auto"/>
          <w:sz w:val="28"/>
          <w:szCs w:val="28"/>
          <w:highlight w:val="none"/>
        </w:rPr>
        <w:t>交纳到</w:t>
      </w:r>
      <w:r>
        <w:rPr>
          <w:rFonts w:hint="eastAsia" w:ascii="仿宋" w:hAnsi="仿宋" w:eastAsia="仿宋" w:cs="仿宋"/>
          <w:color w:val="auto"/>
          <w:sz w:val="28"/>
          <w:szCs w:val="28"/>
          <w:highlight w:val="none"/>
          <w:lang w:eastAsia="zh-CN"/>
        </w:rPr>
        <w:t>睿采交易云平台</w:t>
      </w:r>
      <w:r>
        <w:rPr>
          <w:rFonts w:hint="eastAsia" w:ascii="仿宋" w:hAnsi="仿宋" w:eastAsia="仿宋" w:cs="仿宋"/>
          <w:color w:val="auto"/>
          <w:sz w:val="28"/>
          <w:szCs w:val="28"/>
          <w:highlight w:val="none"/>
        </w:rPr>
        <w:t>指定银行账户。</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92" w:rightChars="-44" w:firstLine="562"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 xml:space="preserve">第八条  </w:t>
      </w:r>
      <w:r>
        <w:rPr>
          <w:rFonts w:hint="eastAsia" w:ascii="仿宋" w:hAnsi="仿宋" w:eastAsia="仿宋" w:cs="仿宋"/>
          <w:color w:val="auto"/>
          <w:sz w:val="28"/>
          <w:szCs w:val="28"/>
          <w:highlight w:val="none"/>
        </w:rPr>
        <w:t>自竞争磋商采购文件开始发售之日起至意向供应商提交首次响应文件截止时间</w:t>
      </w:r>
      <w:r>
        <w:rPr>
          <w:rFonts w:hint="eastAsia" w:ascii="仿宋" w:hAnsi="仿宋" w:eastAsia="仿宋" w:cs="仿宋"/>
          <w:color w:val="auto"/>
          <w:sz w:val="28"/>
          <w:szCs w:val="28"/>
          <w:highlight w:val="none"/>
          <w:lang w:val="en-US" w:eastAsia="zh-CN"/>
        </w:rPr>
        <w:t>无特殊情况</w:t>
      </w:r>
      <w:r>
        <w:rPr>
          <w:rFonts w:hint="eastAsia" w:ascii="仿宋" w:hAnsi="仿宋" w:eastAsia="仿宋" w:cs="仿宋"/>
          <w:color w:val="auto"/>
          <w:sz w:val="28"/>
          <w:szCs w:val="28"/>
          <w:highlight w:val="none"/>
        </w:rPr>
        <w:t>应不少于</w:t>
      </w:r>
      <w:r>
        <w:rPr>
          <w:rFonts w:hint="eastAsia" w:ascii="仿宋" w:hAnsi="仿宋" w:eastAsia="仿宋" w:cs="仿宋"/>
          <w:color w:val="auto"/>
          <w:sz w:val="28"/>
          <w:szCs w:val="28"/>
          <w:highlight w:val="none"/>
          <w:lang w:val="en-US" w:eastAsia="zh-CN"/>
        </w:rPr>
        <w:t>10日。</w:t>
      </w:r>
    </w:p>
    <w:p>
      <w:pPr>
        <w:keepNext w:val="0"/>
        <w:keepLines w:val="0"/>
        <w:pageBreakBefore w:val="0"/>
        <w:widowControl w:val="0"/>
        <w:numPr>
          <w:ilvl w:val="0"/>
          <w:numId w:val="0"/>
        </w:numPr>
        <w:kinsoku/>
        <w:wordWrap/>
        <w:overflowPunct/>
        <w:topLinePunct w:val="0"/>
        <w:autoSpaceDE/>
        <w:autoSpaceDN/>
        <w:bidi w:val="0"/>
        <w:adjustRightInd/>
        <w:snapToGrid/>
        <w:spacing w:after="157" w:afterLines="50" w:line="360" w:lineRule="auto"/>
        <w:ind w:right="0" w:rightChars="0" w:firstLine="562" w:firstLineChars="200"/>
        <w:jc w:val="center"/>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rPr>
        <w:t>第三章</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b/>
          <w:bCs/>
          <w:color w:val="auto"/>
          <w:sz w:val="28"/>
          <w:szCs w:val="28"/>
          <w:highlight w:val="none"/>
        </w:rPr>
        <w:t>组织谈判及成交确认</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right="-92" w:rightChars="-44" w:firstLine="562" w:firstLineChars="200"/>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lang w:val="en-US" w:eastAsia="zh-CN"/>
        </w:rPr>
        <w:t xml:space="preserve">第九条  </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负责组建磋商小组,磋商小组成员应为5人以上单数。磋商专家由</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从</w:t>
      </w:r>
      <w:r>
        <w:rPr>
          <w:rFonts w:hint="eastAsia" w:ascii="仿宋" w:hAnsi="仿宋" w:eastAsia="仿宋" w:cs="仿宋"/>
          <w:color w:val="auto"/>
          <w:sz w:val="28"/>
          <w:szCs w:val="28"/>
          <w:highlight w:val="none"/>
          <w:lang w:eastAsia="zh-CN"/>
        </w:rPr>
        <w:t>睿采交易云平台</w:t>
      </w:r>
      <w:r>
        <w:rPr>
          <w:rFonts w:hint="eastAsia" w:ascii="仿宋" w:hAnsi="仿宋" w:eastAsia="仿宋" w:cs="仿宋"/>
          <w:color w:val="auto"/>
          <w:sz w:val="28"/>
          <w:szCs w:val="28"/>
          <w:highlight w:val="none"/>
        </w:rPr>
        <w:t>评标评审专家库中随机抽取,抽取时间应在磋商当天或前一天进行。</w:t>
      </w:r>
    </w:p>
    <w:p>
      <w:pPr>
        <w:keepNext w:val="0"/>
        <w:keepLines w:val="0"/>
        <w:pageBreakBefore w:val="0"/>
        <w:widowControl w:val="0"/>
        <w:kinsoku/>
        <w:wordWrap/>
        <w:overflowPunct/>
        <w:topLinePunct w:val="0"/>
        <w:autoSpaceDE/>
        <w:autoSpaceDN/>
        <w:bidi w:val="0"/>
        <w:adjustRightInd/>
        <w:snapToGrid/>
        <w:spacing w:line="360" w:lineRule="auto"/>
        <w:ind w:left="0" w:leftChars="0" w:right="-92" w:rightChars="-44" w:firstLine="562" w:firstLineChars="200"/>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第十条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color w:val="auto"/>
          <w:sz w:val="28"/>
          <w:szCs w:val="28"/>
          <w:highlight w:val="none"/>
        </w:rPr>
        <w:t>意向供应商应按照竞争磋商采购文件约定的时间、地点向</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递交初始响应文件。在竟争磋商采购文件约定的截止时间后递交的响应文件或不按照竞争磋商采购文件要求密封的响应文件,</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应当拒收。采用电子交易方式的采购项目,意向供应商应加密在</w:t>
      </w:r>
      <w:r>
        <w:rPr>
          <w:rFonts w:hint="eastAsia" w:ascii="仿宋" w:hAnsi="仿宋" w:eastAsia="仿宋" w:cs="仿宋"/>
          <w:color w:val="auto"/>
          <w:sz w:val="28"/>
          <w:szCs w:val="28"/>
          <w:highlight w:val="none"/>
          <w:lang w:eastAsia="zh-CN"/>
        </w:rPr>
        <w:t>睿采交易云平台</w:t>
      </w:r>
      <w:r>
        <w:rPr>
          <w:rFonts w:hint="eastAsia" w:ascii="仿宋" w:hAnsi="仿宋" w:eastAsia="仿宋" w:cs="仿宋"/>
          <w:color w:val="auto"/>
          <w:sz w:val="28"/>
          <w:szCs w:val="28"/>
          <w:highlight w:val="none"/>
        </w:rPr>
        <w:t>网上采购系统提交响应文件。</w:t>
      </w:r>
    </w:p>
    <w:p>
      <w:pPr>
        <w:keepNext w:val="0"/>
        <w:keepLines w:val="0"/>
        <w:pageBreakBefore w:val="0"/>
        <w:widowControl w:val="0"/>
        <w:kinsoku/>
        <w:wordWrap/>
        <w:overflowPunct/>
        <w:topLinePunct w:val="0"/>
        <w:autoSpaceDE/>
        <w:autoSpaceDN/>
        <w:bidi w:val="0"/>
        <w:adjustRightInd/>
        <w:snapToGrid/>
        <w:spacing w:line="360" w:lineRule="auto"/>
        <w:ind w:left="0" w:leftChars="0" w:right="-92" w:rightChars="-44" w:firstLine="562" w:firstLineChars="200"/>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第十</w:t>
      </w:r>
      <w:r>
        <w:rPr>
          <w:rFonts w:hint="eastAsia" w:ascii="仿宋" w:hAnsi="仿宋" w:eastAsia="仿宋" w:cs="仿宋"/>
          <w:b/>
          <w:bCs/>
          <w:color w:val="auto"/>
          <w:sz w:val="28"/>
          <w:szCs w:val="28"/>
          <w:highlight w:val="none"/>
          <w:lang w:val="en-US" w:eastAsia="zh-CN"/>
        </w:rPr>
        <w:t>一</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color w:val="auto"/>
          <w:sz w:val="28"/>
          <w:szCs w:val="28"/>
          <w:highlight w:val="none"/>
        </w:rPr>
        <w:t>竞争磋商不举行磋商开始仪式。在递交响应文件时间截止后依照竞争磋商采购文件规定的时间、地点直接进入磋商程序。</w:t>
      </w:r>
    </w:p>
    <w:p>
      <w:pPr>
        <w:keepNext w:val="0"/>
        <w:keepLines w:val="0"/>
        <w:pageBreakBefore w:val="0"/>
        <w:widowControl w:val="0"/>
        <w:kinsoku/>
        <w:wordWrap/>
        <w:overflowPunct/>
        <w:topLinePunct w:val="0"/>
        <w:autoSpaceDE/>
        <w:autoSpaceDN/>
        <w:bidi w:val="0"/>
        <w:adjustRightInd/>
        <w:snapToGrid/>
        <w:spacing w:line="360" w:lineRule="auto"/>
        <w:ind w:left="0" w:leftChars="0" w:right="-92" w:rightChars="-44" w:firstLine="562" w:firstLineChars="200"/>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第十</w:t>
      </w:r>
      <w:r>
        <w:rPr>
          <w:rFonts w:hint="eastAsia" w:ascii="仿宋" w:hAnsi="仿宋" w:eastAsia="仿宋" w:cs="仿宋"/>
          <w:b/>
          <w:bCs/>
          <w:color w:val="auto"/>
          <w:sz w:val="28"/>
          <w:szCs w:val="28"/>
          <w:highlight w:val="none"/>
          <w:lang w:val="en-US" w:eastAsia="zh-CN"/>
        </w:rPr>
        <w:t>二</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color w:val="auto"/>
          <w:sz w:val="28"/>
          <w:szCs w:val="28"/>
          <w:highlight w:val="none"/>
        </w:rPr>
        <w:t>递交响应文件的意向供应商2家以上即可启动磋商程序。</w:t>
      </w:r>
    </w:p>
    <w:p>
      <w:pPr>
        <w:keepNext w:val="0"/>
        <w:keepLines w:val="0"/>
        <w:pageBreakBefore w:val="0"/>
        <w:widowControl w:val="0"/>
        <w:kinsoku/>
        <w:wordWrap/>
        <w:overflowPunct/>
        <w:topLinePunct w:val="0"/>
        <w:autoSpaceDE/>
        <w:autoSpaceDN/>
        <w:bidi w:val="0"/>
        <w:adjustRightInd/>
        <w:snapToGrid/>
        <w:spacing w:line="360" w:lineRule="auto"/>
        <w:ind w:left="0" w:leftChars="0" w:right="-92" w:rightChars="-44" w:firstLine="562" w:firstLineChars="200"/>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第十</w:t>
      </w:r>
      <w:r>
        <w:rPr>
          <w:rFonts w:hint="eastAsia" w:ascii="仿宋" w:hAnsi="仿宋" w:eastAsia="仿宋" w:cs="仿宋"/>
          <w:b/>
          <w:bCs/>
          <w:color w:val="auto"/>
          <w:sz w:val="28"/>
          <w:szCs w:val="28"/>
          <w:highlight w:val="none"/>
          <w:lang w:val="en-US" w:eastAsia="zh-CN"/>
        </w:rPr>
        <w:t>三</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color w:val="auto"/>
          <w:sz w:val="28"/>
          <w:szCs w:val="28"/>
          <w:highlight w:val="none"/>
        </w:rPr>
        <w:t>磋商小组通过随机抽取的方式分别与每个意向供应商单独磋商。</w:t>
      </w:r>
    </w:p>
    <w:p>
      <w:pPr>
        <w:keepNext w:val="0"/>
        <w:keepLines w:val="0"/>
        <w:pageBreakBefore w:val="0"/>
        <w:widowControl w:val="0"/>
        <w:kinsoku/>
        <w:wordWrap/>
        <w:overflowPunct/>
        <w:topLinePunct w:val="0"/>
        <w:autoSpaceDE/>
        <w:autoSpaceDN/>
        <w:bidi w:val="0"/>
        <w:adjustRightInd/>
        <w:snapToGrid/>
        <w:spacing w:line="360" w:lineRule="auto"/>
        <w:ind w:left="0" w:leftChars="0" w:right="-92" w:rightChars="-44" w:firstLine="562" w:firstLineChars="200"/>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第十</w:t>
      </w:r>
      <w:r>
        <w:rPr>
          <w:rFonts w:hint="eastAsia" w:ascii="仿宋" w:hAnsi="仿宋" w:eastAsia="仿宋" w:cs="仿宋"/>
          <w:b/>
          <w:bCs/>
          <w:color w:val="auto"/>
          <w:sz w:val="28"/>
          <w:szCs w:val="28"/>
          <w:highlight w:val="none"/>
          <w:lang w:val="en-US" w:eastAsia="zh-CN"/>
        </w:rPr>
        <w:t>四</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color w:val="auto"/>
          <w:sz w:val="28"/>
          <w:szCs w:val="28"/>
          <w:highlight w:val="none"/>
        </w:rPr>
        <w:t>磋商过程中,意向供应商可以修改采购需求中的技术、服务要求以及合同草案条款,但应经</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代表确认;或提出实现采购目标的不同路径,供</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选择;也可对确定方案进行价格初步谈判。</w:t>
      </w:r>
    </w:p>
    <w:p>
      <w:pPr>
        <w:keepNext w:val="0"/>
        <w:keepLines w:val="0"/>
        <w:pageBreakBefore w:val="0"/>
        <w:widowControl w:val="0"/>
        <w:kinsoku/>
        <w:wordWrap/>
        <w:overflowPunct/>
        <w:topLinePunct w:val="0"/>
        <w:autoSpaceDE/>
        <w:autoSpaceDN/>
        <w:bidi w:val="0"/>
        <w:adjustRightInd/>
        <w:snapToGrid/>
        <w:spacing w:line="360" w:lineRule="auto"/>
        <w:ind w:left="0" w:leftChars="0" w:right="-92" w:rightChars="-44" w:firstLine="560"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color w:val="auto"/>
          <w:sz w:val="28"/>
          <w:szCs w:val="28"/>
          <w:highlight w:val="none"/>
        </w:rPr>
        <w:t>磋商小组依据竞争磋商采购文件规定的标准对响应文件的技术和商务条件进行综合评估。经</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同意确定最终</w:t>
      </w:r>
      <w:r>
        <w:rPr>
          <w:rFonts w:hint="eastAsia" w:ascii="仿宋" w:hAnsi="仿宋" w:eastAsia="仿宋" w:cs="仿宋"/>
          <w:color w:val="auto"/>
          <w:sz w:val="28"/>
          <w:szCs w:val="28"/>
          <w:highlight w:val="none"/>
          <w:lang w:eastAsia="zh-CN"/>
        </w:rPr>
        <w:t>采购</w:t>
      </w:r>
      <w:r>
        <w:rPr>
          <w:rFonts w:hint="eastAsia" w:ascii="仿宋" w:hAnsi="仿宋" w:eastAsia="仿宋" w:cs="仿宋"/>
          <w:color w:val="auto"/>
          <w:sz w:val="28"/>
          <w:szCs w:val="28"/>
          <w:highlight w:val="none"/>
          <w:lang w:val="en-US" w:eastAsia="zh-CN"/>
        </w:rPr>
        <w:t>方</w:t>
      </w:r>
      <w:r>
        <w:rPr>
          <w:rFonts w:hint="eastAsia" w:ascii="仿宋" w:hAnsi="仿宋" w:eastAsia="仿宋" w:cs="仿宋"/>
          <w:color w:val="auto"/>
          <w:sz w:val="28"/>
          <w:szCs w:val="28"/>
          <w:highlight w:val="none"/>
        </w:rPr>
        <w:t>案。意向供应商针对最终</w:t>
      </w:r>
      <w:r>
        <w:rPr>
          <w:rFonts w:hint="eastAsia" w:ascii="仿宋" w:hAnsi="仿宋" w:eastAsia="仿宋" w:cs="仿宋"/>
          <w:color w:val="auto"/>
          <w:sz w:val="28"/>
          <w:szCs w:val="28"/>
          <w:highlight w:val="none"/>
          <w:lang w:eastAsia="zh-CN"/>
        </w:rPr>
        <w:t>采购单</w:t>
      </w:r>
      <w:r>
        <w:rPr>
          <w:rFonts w:hint="eastAsia" w:ascii="仿宋" w:hAnsi="仿宋" w:eastAsia="仿宋" w:cs="仿宋"/>
          <w:color w:val="auto"/>
          <w:sz w:val="28"/>
          <w:szCs w:val="28"/>
          <w:highlight w:val="none"/>
          <w:lang w:val="en-US" w:eastAsia="zh-CN"/>
        </w:rPr>
        <w:t>方</w:t>
      </w:r>
      <w:r>
        <w:rPr>
          <w:rFonts w:hint="eastAsia" w:ascii="仿宋" w:hAnsi="仿宋" w:eastAsia="仿宋" w:cs="仿宋"/>
          <w:color w:val="auto"/>
          <w:sz w:val="28"/>
          <w:szCs w:val="28"/>
          <w:highlight w:val="none"/>
        </w:rPr>
        <w:t>案报价并提交</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应对提交的最新价格保密</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92" w:rightChars="-44" w:firstLine="562" w:firstLineChars="200"/>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第十</w:t>
      </w:r>
      <w:r>
        <w:rPr>
          <w:rFonts w:hint="eastAsia" w:ascii="仿宋" w:hAnsi="仿宋" w:eastAsia="仿宋" w:cs="仿宋"/>
          <w:b/>
          <w:bCs/>
          <w:color w:val="auto"/>
          <w:sz w:val="28"/>
          <w:szCs w:val="28"/>
          <w:highlight w:val="none"/>
          <w:lang w:val="en-US" w:eastAsia="zh-CN"/>
        </w:rPr>
        <w:t>五</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color w:val="auto"/>
          <w:sz w:val="28"/>
          <w:szCs w:val="28"/>
          <w:highlight w:val="none"/>
        </w:rPr>
        <w:t>在确定</w:t>
      </w:r>
      <w:r>
        <w:rPr>
          <w:rFonts w:hint="eastAsia" w:ascii="仿宋" w:hAnsi="仿宋" w:eastAsia="仿宋" w:cs="仿宋"/>
          <w:color w:val="auto"/>
          <w:sz w:val="28"/>
          <w:szCs w:val="28"/>
          <w:highlight w:val="none"/>
          <w:lang w:eastAsia="zh-CN"/>
        </w:rPr>
        <w:t>采购</w:t>
      </w:r>
      <w:r>
        <w:rPr>
          <w:rFonts w:hint="eastAsia" w:ascii="仿宋" w:hAnsi="仿宋" w:eastAsia="仿宋" w:cs="仿宋"/>
          <w:color w:val="auto"/>
          <w:sz w:val="28"/>
          <w:szCs w:val="28"/>
          <w:highlight w:val="none"/>
          <w:lang w:val="en-US" w:eastAsia="zh-CN"/>
        </w:rPr>
        <w:t>方</w:t>
      </w:r>
      <w:r>
        <w:rPr>
          <w:rFonts w:hint="eastAsia" w:ascii="仿宋" w:hAnsi="仿宋" w:eastAsia="仿宋" w:cs="仿宋"/>
          <w:color w:val="auto"/>
          <w:sz w:val="28"/>
          <w:szCs w:val="28"/>
          <w:highlight w:val="none"/>
        </w:rPr>
        <w:t>案和合同文件后,磋商小组对所有还在程序内的响应文件评审。评审可以采用排序的方式、打分的方式,也可采用简短评语的方式向</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提交评审报告,排序标准由竞争磋商采购文件约定。</w:t>
      </w:r>
    </w:p>
    <w:p>
      <w:pPr>
        <w:keepNext w:val="0"/>
        <w:keepLines w:val="0"/>
        <w:pageBreakBefore w:val="0"/>
        <w:widowControl w:val="0"/>
        <w:kinsoku/>
        <w:wordWrap/>
        <w:overflowPunct/>
        <w:topLinePunct w:val="0"/>
        <w:autoSpaceDE/>
        <w:autoSpaceDN/>
        <w:bidi w:val="0"/>
        <w:adjustRightInd/>
        <w:snapToGrid/>
        <w:spacing w:line="360" w:lineRule="auto"/>
        <w:ind w:left="0" w:leftChars="0" w:right="-92" w:rightChars="-44" w:firstLine="562" w:firstLineChars="200"/>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第十</w:t>
      </w:r>
      <w:r>
        <w:rPr>
          <w:rFonts w:hint="eastAsia" w:ascii="仿宋" w:hAnsi="仿宋" w:eastAsia="仿宋" w:cs="仿宋"/>
          <w:b/>
          <w:bCs/>
          <w:color w:val="auto"/>
          <w:sz w:val="28"/>
          <w:szCs w:val="28"/>
          <w:highlight w:val="none"/>
          <w:lang w:val="en-US" w:eastAsia="zh-CN"/>
        </w:rPr>
        <w:t>六</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依据磋商小组提交的评审报告和顺序名单依次和仍在程序中的意向供应商针对确定的</w:t>
      </w:r>
      <w:r>
        <w:rPr>
          <w:rFonts w:hint="eastAsia" w:ascii="仿宋" w:hAnsi="仿宋" w:eastAsia="仿宋" w:cs="仿宋"/>
          <w:color w:val="auto"/>
          <w:sz w:val="28"/>
          <w:szCs w:val="28"/>
          <w:highlight w:val="none"/>
          <w:lang w:eastAsia="zh-CN"/>
        </w:rPr>
        <w:t>采购</w:t>
      </w:r>
      <w:r>
        <w:rPr>
          <w:rFonts w:hint="eastAsia" w:ascii="仿宋" w:hAnsi="仿宋" w:eastAsia="仿宋" w:cs="仿宋"/>
          <w:color w:val="auto"/>
          <w:sz w:val="28"/>
          <w:szCs w:val="28"/>
          <w:highlight w:val="none"/>
          <w:lang w:val="en-US" w:eastAsia="zh-CN"/>
        </w:rPr>
        <w:t>方</w:t>
      </w:r>
      <w:r>
        <w:rPr>
          <w:rFonts w:hint="eastAsia" w:ascii="仿宋" w:hAnsi="仿宋" w:eastAsia="仿宋" w:cs="仿宋"/>
          <w:color w:val="auto"/>
          <w:sz w:val="28"/>
          <w:szCs w:val="28"/>
          <w:highlight w:val="none"/>
        </w:rPr>
        <w:t>案和合同条款进行财务谈判。财务谈判不应涉及项目合同中的核心条款,不应与排序在前但已</w:t>
      </w:r>
      <w:r>
        <w:rPr>
          <w:rFonts w:hint="eastAsia" w:ascii="仿宋" w:hAnsi="仿宋" w:eastAsia="仿宋" w:cs="仿宋"/>
          <w:color w:val="auto"/>
          <w:sz w:val="28"/>
          <w:szCs w:val="28"/>
          <w:highlight w:val="none"/>
          <w:lang w:val="en-US" w:eastAsia="zh-CN"/>
        </w:rPr>
        <w:t>终止</w:t>
      </w:r>
      <w:r>
        <w:rPr>
          <w:rFonts w:hint="eastAsia" w:ascii="仿宋" w:hAnsi="仿宋" w:eastAsia="仿宋" w:cs="仿宋"/>
          <w:color w:val="auto"/>
          <w:sz w:val="28"/>
          <w:szCs w:val="28"/>
          <w:highlight w:val="none"/>
        </w:rPr>
        <w:t>谈判的意向供应商进行重复谈判。</w:t>
      </w:r>
    </w:p>
    <w:p>
      <w:pPr>
        <w:keepNext w:val="0"/>
        <w:keepLines w:val="0"/>
        <w:pageBreakBefore w:val="0"/>
        <w:widowControl w:val="0"/>
        <w:kinsoku/>
        <w:wordWrap/>
        <w:overflowPunct/>
        <w:topLinePunct w:val="0"/>
        <w:autoSpaceDE/>
        <w:autoSpaceDN/>
        <w:bidi w:val="0"/>
        <w:adjustRightInd/>
        <w:snapToGrid/>
        <w:spacing w:line="360" w:lineRule="auto"/>
        <w:ind w:left="0" w:leftChars="0" w:right="-92" w:rightChars="-44" w:firstLine="562" w:firstLineChars="200"/>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第十</w:t>
      </w:r>
      <w:r>
        <w:rPr>
          <w:rFonts w:hint="eastAsia" w:ascii="仿宋" w:hAnsi="仿宋" w:eastAsia="仿宋" w:cs="仿宋"/>
          <w:b/>
          <w:bCs/>
          <w:color w:val="auto"/>
          <w:sz w:val="28"/>
          <w:szCs w:val="28"/>
          <w:highlight w:val="none"/>
          <w:lang w:val="en-US" w:eastAsia="zh-CN"/>
        </w:rPr>
        <w:t>七</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color w:val="auto"/>
          <w:sz w:val="28"/>
          <w:szCs w:val="28"/>
          <w:highlight w:val="none"/>
        </w:rPr>
        <w:t>最先和</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达成合同协议的意向供应商为成交供应商。</w:t>
      </w:r>
    </w:p>
    <w:p>
      <w:pPr>
        <w:keepNext w:val="0"/>
        <w:keepLines w:val="0"/>
        <w:pageBreakBefore w:val="0"/>
        <w:widowControl w:val="0"/>
        <w:kinsoku/>
        <w:wordWrap/>
        <w:overflowPunct/>
        <w:topLinePunct w:val="0"/>
        <w:autoSpaceDE/>
        <w:autoSpaceDN/>
        <w:bidi w:val="0"/>
        <w:adjustRightInd/>
        <w:snapToGrid/>
        <w:spacing w:line="360" w:lineRule="auto"/>
        <w:ind w:left="0" w:leftChars="0" w:right="-92" w:rightChars="-44" w:firstLine="562"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b/>
          <w:bCs/>
          <w:color w:val="auto"/>
          <w:sz w:val="28"/>
          <w:szCs w:val="28"/>
          <w:highlight w:val="none"/>
        </w:rPr>
        <w:t>第十</w:t>
      </w:r>
      <w:r>
        <w:rPr>
          <w:rFonts w:hint="eastAsia" w:ascii="仿宋" w:hAnsi="仿宋" w:eastAsia="仿宋" w:cs="仿宋"/>
          <w:b/>
          <w:bCs/>
          <w:color w:val="auto"/>
          <w:sz w:val="28"/>
          <w:szCs w:val="28"/>
          <w:highlight w:val="none"/>
          <w:lang w:val="en-US" w:eastAsia="zh-CN"/>
        </w:rPr>
        <w:t>八</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确定成交供应商后,</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应通过</w:t>
      </w:r>
      <w:r>
        <w:rPr>
          <w:rFonts w:hint="eastAsia" w:ascii="仿宋" w:hAnsi="仿宋" w:eastAsia="仿宋" w:cs="仿宋"/>
          <w:color w:val="auto"/>
          <w:sz w:val="28"/>
          <w:szCs w:val="28"/>
          <w:highlight w:val="none"/>
          <w:lang w:eastAsia="zh-CN"/>
        </w:rPr>
        <w:t>睿采交易云平台</w:t>
      </w:r>
      <w:r>
        <w:rPr>
          <w:rFonts w:hint="eastAsia" w:ascii="仿宋" w:hAnsi="仿宋" w:eastAsia="仿宋" w:cs="仿宋"/>
          <w:color w:val="auto"/>
          <w:sz w:val="28"/>
          <w:szCs w:val="28"/>
          <w:highlight w:val="none"/>
        </w:rPr>
        <w:t>发布各意向供应商首次报价的信息和成交结果公告,并向成交供应商发出成交通知书,同时将成交结果通知所有未成交的意向供应商</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92" w:rightChars="-44" w:firstLine="562" w:firstLineChars="200"/>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w:t>
      </w:r>
      <w:r>
        <w:rPr>
          <w:rFonts w:hint="eastAsia" w:ascii="仿宋" w:hAnsi="仿宋" w:eastAsia="仿宋" w:cs="仿宋"/>
          <w:b/>
          <w:bCs/>
          <w:color w:val="auto"/>
          <w:sz w:val="28"/>
          <w:szCs w:val="28"/>
          <w:highlight w:val="none"/>
          <w:lang w:val="en-US" w:eastAsia="zh-CN"/>
        </w:rPr>
        <w:t>十九</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color w:val="auto"/>
          <w:sz w:val="28"/>
          <w:szCs w:val="28"/>
          <w:highlight w:val="none"/>
        </w:rPr>
        <w:t>成交通知书对</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和成交供应商具有法律效力。成交通知书发出后,</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改变成交结果的、成交供应商放弃成交项目或拒绝签订采购合同的,应当依法承担法律责任。</w:t>
      </w:r>
    </w:p>
    <w:p>
      <w:pPr>
        <w:keepNext w:val="0"/>
        <w:keepLines w:val="0"/>
        <w:pageBreakBefore w:val="0"/>
        <w:widowControl w:val="0"/>
        <w:kinsoku/>
        <w:wordWrap/>
        <w:overflowPunct/>
        <w:topLinePunct w:val="0"/>
        <w:autoSpaceDE/>
        <w:autoSpaceDN/>
        <w:bidi w:val="0"/>
        <w:adjustRightInd/>
        <w:snapToGrid/>
        <w:spacing w:after="157" w:afterLines="50" w:line="360" w:lineRule="auto"/>
        <w:ind w:left="0" w:leftChars="0" w:right="0" w:rightChars="0" w:firstLine="0" w:firstLineChars="0"/>
        <w:jc w:val="center"/>
        <w:textAlignment w:val="auto"/>
        <w:rPr>
          <w:rFonts w:hint="eastAsia" w:ascii="仿宋" w:hAnsi="仿宋" w:eastAsia="仿宋" w:cs="仿宋"/>
          <w:b/>
          <w:bCs/>
          <w:color w:val="auto"/>
          <w:sz w:val="28"/>
          <w:szCs w:val="28"/>
          <w:highlight w:val="none"/>
          <w:lang w:eastAsia="zh-CN"/>
        </w:rPr>
      </w:pPr>
      <w:r>
        <w:rPr>
          <w:rFonts w:hint="eastAsia" w:ascii="仿宋" w:hAnsi="仿宋" w:eastAsia="仿宋" w:cs="仿宋"/>
          <w:b/>
          <w:bCs/>
          <w:color w:val="auto"/>
          <w:sz w:val="28"/>
          <w:szCs w:val="28"/>
          <w:highlight w:val="none"/>
        </w:rPr>
        <w:t>第四章</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b/>
          <w:bCs/>
          <w:color w:val="auto"/>
          <w:sz w:val="28"/>
          <w:szCs w:val="28"/>
          <w:highlight w:val="none"/>
        </w:rPr>
        <w:t>合同签订与结算</w:t>
      </w:r>
    </w:p>
    <w:p>
      <w:pPr>
        <w:keepNext w:val="0"/>
        <w:keepLines w:val="0"/>
        <w:pageBreakBefore w:val="0"/>
        <w:widowControl w:val="0"/>
        <w:kinsoku/>
        <w:wordWrap/>
        <w:overflowPunct/>
        <w:topLinePunct w:val="0"/>
        <w:autoSpaceDE/>
        <w:autoSpaceDN/>
        <w:bidi w:val="0"/>
        <w:adjustRightInd/>
        <w:snapToGrid/>
        <w:spacing w:line="360" w:lineRule="auto"/>
        <w:ind w:left="0" w:leftChars="0" w:right="-92" w:rightChars="-44" w:firstLine="562" w:firstLineChars="200"/>
        <w:textAlignment w:val="auto"/>
        <w:rPr>
          <w:rFonts w:hint="eastAsia" w:ascii="仿宋" w:hAnsi="仿宋" w:eastAsia="仿宋" w:cs="仿宋"/>
          <w:color w:val="auto"/>
          <w:sz w:val="28"/>
          <w:szCs w:val="28"/>
          <w:highlight w:val="none"/>
          <w:lang w:eastAsia="zh-CN"/>
        </w:rPr>
      </w:pPr>
      <w:r>
        <w:rPr>
          <w:rFonts w:hint="eastAsia" w:ascii="仿宋" w:hAnsi="仿宋" w:eastAsia="仿宋" w:cs="仿宋"/>
          <w:b/>
          <w:bCs/>
          <w:color w:val="auto"/>
          <w:sz w:val="28"/>
          <w:szCs w:val="28"/>
          <w:highlight w:val="none"/>
        </w:rPr>
        <w:t>第二十条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color w:val="auto"/>
          <w:sz w:val="28"/>
          <w:szCs w:val="28"/>
          <w:highlight w:val="none"/>
        </w:rPr>
        <w:t>除发生不可抗力外,</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和与成交应商应在成交通知书发出之日起</w:t>
      </w:r>
      <w:r>
        <w:rPr>
          <w:rFonts w:hint="eastAsia" w:ascii="仿宋" w:hAnsi="仿宋" w:eastAsia="仿宋" w:cs="仿宋"/>
          <w:color w:val="auto"/>
          <w:sz w:val="28"/>
          <w:szCs w:val="28"/>
          <w:highlight w:val="none"/>
          <w:lang w:val="en-US" w:eastAsia="zh-CN"/>
        </w:rPr>
        <w:t>7个工作</w:t>
      </w:r>
      <w:r>
        <w:rPr>
          <w:rFonts w:hint="eastAsia" w:ascii="仿宋" w:hAnsi="仿宋" w:eastAsia="仿宋" w:cs="仿宋"/>
          <w:color w:val="auto"/>
          <w:sz w:val="28"/>
          <w:szCs w:val="28"/>
          <w:highlight w:val="none"/>
        </w:rPr>
        <w:t>日内签订采购</w:t>
      </w:r>
      <w:r>
        <w:rPr>
          <w:rFonts w:hint="eastAsia" w:ascii="仿宋" w:hAnsi="仿宋" w:eastAsia="仿宋" w:cs="仿宋"/>
          <w:color w:val="auto"/>
          <w:sz w:val="28"/>
          <w:szCs w:val="28"/>
          <w:highlight w:val="none"/>
          <w:lang w:val="en-US" w:eastAsia="zh-CN"/>
        </w:rPr>
        <w:t>合同</w:t>
      </w:r>
      <w:r>
        <w:rPr>
          <w:rFonts w:hint="eastAsia" w:ascii="仿宋" w:hAnsi="仿宋" w:eastAsia="仿宋" w:cs="仿宋"/>
          <w:color w:val="auto"/>
          <w:sz w:val="28"/>
          <w:szCs w:val="28"/>
          <w:highlight w:val="none"/>
          <w:lang w:eastAsia="zh-CN"/>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92" w:rightChars="-44" w:firstLine="562" w:firstLineChars="200"/>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第二十</w:t>
      </w:r>
      <w:r>
        <w:rPr>
          <w:rFonts w:hint="eastAsia" w:ascii="仿宋" w:hAnsi="仿宋" w:eastAsia="仿宋" w:cs="仿宋"/>
          <w:b/>
          <w:bCs/>
          <w:color w:val="auto"/>
          <w:sz w:val="28"/>
          <w:szCs w:val="28"/>
          <w:highlight w:val="none"/>
          <w:lang w:val="en-US" w:eastAsia="zh-CN"/>
        </w:rPr>
        <w:t>一</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color w:val="auto"/>
          <w:sz w:val="28"/>
          <w:szCs w:val="28"/>
          <w:highlight w:val="none"/>
        </w:rPr>
        <w:t>未成交意向供应商的</w:t>
      </w:r>
      <w:r>
        <w:rPr>
          <w:rFonts w:hint="eastAsia" w:ascii="仿宋" w:hAnsi="仿宋" w:eastAsia="仿宋" w:cs="仿宋"/>
          <w:color w:val="auto"/>
          <w:sz w:val="28"/>
          <w:szCs w:val="28"/>
          <w:highlight w:val="none"/>
          <w:lang w:eastAsia="zh-CN"/>
        </w:rPr>
        <w:t>采购保证金</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rPr>
        <w:t>应在成交通知书发出后5日内全额退还。成交供应商的</w:t>
      </w:r>
      <w:r>
        <w:rPr>
          <w:rFonts w:hint="eastAsia" w:ascii="仿宋" w:hAnsi="仿宋" w:eastAsia="仿宋" w:cs="仿宋"/>
          <w:color w:val="auto"/>
          <w:sz w:val="28"/>
          <w:szCs w:val="28"/>
          <w:highlight w:val="none"/>
          <w:lang w:eastAsia="zh-CN"/>
        </w:rPr>
        <w:t>采购保证金</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采购单位</w:t>
      </w:r>
      <w:r>
        <w:rPr>
          <w:rFonts w:hint="eastAsia" w:ascii="仿宋" w:hAnsi="仿宋" w:eastAsia="仿宋" w:cs="仿宋"/>
          <w:color w:val="auto"/>
          <w:sz w:val="28"/>
          <w:szCs w:val="28"/>
          <w:highlight w:val="none"/>
          <w:lang w:val="en-US" w:eastAsia="zh-CN"/>
        </w:rPr>
        <w:t>转为履约保证金</w:t>
      </w:r>
      <w:r>
        <w:rPr>
          <w:rFonts w:hint="eastAsia" w:ascii="仿宋" w:hAnsi="仿宋" w:eastAsia="仿宋" w:cs="仿宋"/>
          <w:color w:val="auto"/>
          <w:sz w:val="28"/>
          <w:szCs w:val="28"/>
          <w:highlight w:val="none"/>
        </w:rPr>
        <w:t>。</w:t>
      </w:r>
    </w:p>
    <w:p>
      <w:pPr>
        <w:keepNext w:val="0"/>
        <w:keepLines w:val="0"/>
        <w:pageBreakBefore w:val="0"/>
        <w:widowControl w:val="0"/>
        <w:kinsoku/>
        <w:wordWrap/>
        <w:overflowPunct/>
        <w:topLinePunct w:val="0"/>
        <w:autoSpaceDE/>
        <w:autoSpaceDN/>
        <w:bidi w:val="0"/>
        <w:adjustRightInd/>
        <w:snapToGrid/>
        <w:spacing w:line="360" w:lineRule="auto"/>
        <w:ind w:left="0" w:leftChars="0" w:right="-92" w:rightChars="-44" w:firstLine="562" w:firstLineChars="200"/>
        <w:textAlignment w:val="auto"/>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第二十</w:t>
      </w:r>
      <w:r>
        <w:rPr>
          <w:rFonts w:hint="eastAsia" w:ascii="仿宋" w:hAnsi="仿宋" w:eastAsia="仿宋" w:cs="仿宋"/>
          <w:b/>
          <w:bCs/>
          <w:color w:val="auto"/>
          <w:sz w:val="28"/>
          <w:szCs w:val="28"/>
          <w:highlight w:val="none"/>
          <w:lang w:val="en-US" w:eastAsia="zh-CN"/>
        </w:rPr>
        <w:t>二</w:t>
      </w:r>
      <w:r>
        <w:rPr>
          <w:rFonts w:hint="eastAsia" w:ascii="仿宋" w:hAnsi="仿宋" w:eastAsia="仿宋" w:cs="仿宋"/>
          <w:b/>
          <w:bCs/>
          <w:color w:val="auto"/>
          <w:sz w:val="28"/>
          <w:szCs w:val="28"/>
          <w:highlight w:val="none"/>
        </w:rPr>
        <w:t>条</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color w:val="auto"/>
          <w:sz w:val="28"/>
          <w:szCs w:val="28"/>
          <w:highlight w:val="none"/>
        </w:rPr>
        <w:t>竞争磋商采购文件要求成交供应商提交履约保证金的,成交供应商应当按要求提交。</w:t>
      </w:r>
    </w:p>
    <w:p>
      <w:pPr>
        <w:keepNext w:val="0"/>
        <w:keepLines w:val="0"/>
        <w:pageBreakBefore w:val="0"/>
        <w:widowControl w:val="0"/>
        <w:kinsoku/>
        <w:wordWrap/>
        <w:overflowPunct/>
        <w:topLinePunct w:val="0"/>
        <w:autoSpaceDE/>
        <w:autoSpaceDN/>
        <w:bidi w:val="0"/>
        <w:adjustRightInd/>
        <w:snapToGrid/>
        <w:spacing w:after="157" w:afterLines="50" w:line="360" w:lineRule="auto"/>
        <w:ind w:left="0" w:leftChars="0" w:right="0" w:rightChars="0" w:firstLine="0" w:firstLineChars="0"/>
        <w:jc w:val="center"/>
        <w:textAlignment w:val="auto"/>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t>第五章</w:t>
      </w:r>
      <w:r>
        <w:rPr>
          <w:rFonts w:hint="eastAsia" w:ascii="仿宋" w:hAnsi="仿宋" w:eastAsia="仿宋" w:cs="仿宋"/>
          <w:b/>
          <w:bCs/>
          <w:color w:val="auto"/>
          <w:sz w:val="28"/>
          <w:szCs w:val="28"/>
          <w:highlight w:val="none"/>
          <w:lang w:val="en-US" w:eastAsia="zh-CN"/>
        </w:rPr>
        <w:t xml:space="preserve"> </w:t>
      </w:r>
      <w:r>
        <w:rPr>
          <w:rFonts w:hint="eastAsia" w:ascii="仿宋" w:hAnsi="仿宋" w:eastAsia="仿宋" w:cs="仿宋"/>
          <w:b/>
          <w:bCs/>
          <w:color w:val="auto"/>
          <w:sz w:val="28"/>
          <w:szCs w:val="28"/>
          <w:highlight w:val="none"/>
        </w:rPr>
        <w:t>其他</w:t>
      </w:r>
    </w:p>
    <w:p>
      <w:pPr>
        <w:keepNext w:val="0"/>
        <w:keepLines w:val="0"/>
        <w:pageBreakBefore w:val="0"/>
        <w:widowControl w:val="0"/>
        <w:kinsoku/>
        <w:wordWrap/>
        <w:overflowPunct/>
        <w:topLinePunct w:val="0"/>
        <w:autoSpaceDE/>
        <w:autoSpaceDN/>
        <w:bidi w:val="0"/>
        <w:adjustRightInd/>
        <w:snapToGrid/>
        <w:spacing w:line="360" w:lineRule="auto"/>
        <w:ind w:left="0" w:leftChars="0" w:right="-92" w:rightChars="-44" w:firstLine="562" w:firstLineChars="200"/>
        <w:textAlignment w:val="auto"/>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b/>
          <w:bCs/>
          <w:color w:val="auto"/>
          <w:sz w:val="28"/>
          <w:szCs w:val="28"/>
          <w:highlight w:val="none"/>
          <w:lang w:val="en-US" w:eastAsia="zh-CN"/>
        </w:rPr>
        <w:t>第二十三条</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kern w:val="2"/>
          <w:sz w:val="28"/>
          <w:szCs w:val="28"/>
          <w:lang w:val="en-US" w:eastAsia="zh-CN" w:bidi="ar-SA"/>
        </w:rPr>
        <w:t>本细则报黑龙江龙睿资产有限公司备案。</w:t>
      </w:r>
    </w:p>
    <w:p>
      <w:pPr>
        <w:keepNext w:val="0"/>
        <w:keepLines w:val="0"/>
        <w:pageBreakBefore w:val="0"/>
        <w:widowControl w:val="0"/>
        <w:kinsoku/>
        <w:wordWrap/>
        <w:overflowPunct/>
        <w:topLinePunct w:val="0"/>
        <w:autoSpaceDE/>
        <w:autoSpaceDN/>
        <w:bidi w:val="0"/>
        <w:adjustRightInd/>
        <w:snapToGrid/>
        <w:spacing w:line="360" w:lineRule="auto"/>
        <w:ind w:left="0" w:leftChars="0" w:right="-92" w:rightChars="-44" w:firstLine="562" w:firstLineChars="200"/>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第二十四条</w:t>
      </w:r>
      <w:r>
        <w:rPr>
          <w:rFonts w:hint="eastAsia" w:ascii="仿宋" w:hAnsi="仿宋" w:eastAsia="仿宋" w:cs="仿宋"/>
          <w:color w:val="auto"/>
          <w:sz w:val="28"/>
          <w:szCs w:val="28"/>
          <w:highlight w:val="none"/>
          <w:lang w:val="en-US" w:eastAsia="zh-CN"/>
        </w:rPr>
        <w:t xml:space="preserve">  本细则自下发之日起执行。</w:t>
      </w:r>
    </w:p>
    <w:p>
      <w:pPr>
        <w:keepNext w:val="0"/>
        <w:keepLines w:val="0"/>
        <w:pageBreakBefore w:val="0"/>
        <w:widowControl w:val="0"/>
        <w:kinsoku/>
        <w:wordWrap/>
        <w:overflowPunct/>
        <w:topLinePunct w:val="0"/>
        <w:autoSpaceDE/>
        <w:autoSpaceDN/>
        <w:bidi w:val="0"/>
        <w:adjustRightInd/>
        <w:snapToGrid/>
        <w:spacing w:line="360" w:lineRule="auto"/>
        <w:ind w:left="0" w:leftChars="0" w:right="-92" w:rightChars="-44" w:firstLine="560" w:firstLineChars="200"/>
        <w:jc w:val="right"/>
        <w:textAlignment w:val="auto"/>
        <w:rPr>
          <w:rFonts w:hint="eastAsia" w:ascii="仿宋" w:hAnsi="仿宋" w:eastAsia="仿宋" w:cs="仿宋"/>
          <w:color w:val="auto"/>
          <w:sz w:val="28"/>
          <w:szCs w:val="28"/>
          <w:highlight w:val="none"/>
          <w:lang w:val="en-US" w:eastAsia="zh-CN"/>
        </w:rPr>
      </w:pPr>
      <w:r>
        <w:rPr>
          <w:rFonts w:hint="eastAsia" w:ascii="仿宋" w:hAnsi="仿宋" w:eastAsia="仿宋" w:cs="仿宋"/>
          <w:b w:val="0"/>
          <w:bCs w:val="0"/>
          <w:sz w:val="28"/>
          <w:szCs w:val="28"/>
          <w:lang w:val="en-US" w:eastAsia="zh-CN"/>
        </w:rPr>
        <w:t xml:space="preserve"> 年   月 </w:t>
      </w:r>
      <w:bookmarkStart w:id="0" w:name="_GoBack"/>
      <w:bookmarkEnd w:id="0"/>
      <w:r>
        <w:rPr>
          <w:rFonts w:hint="eastAsia" w:ascii="仿宋" w:hAnsi="仿宋" w:eastAsia="仿宋" w:cs="仿宋"/>
          <w:b w:val="0"/>
          <w:bCs w:val="0"/>
          <w:sz w:val="28"/>
          <w:szCs w:val="28"/>
          <w:lang w:val="en-US" w:eastAsia="zh-CN"/>
        </w:rPr>
        <w:t xml:space="preserve"> 日</w:t>
      </w:r>
    </w:p>
    <w:sectPr>
      <w:footerReference r:id="rId3" w:type="default"/>
      <w:pgSz w:w="11906" w:h="16838"/>
      <w:pgMar w:top="1440" w:right="1800" w:bottom="1440" w:left="1800" w:header="851" w:footer="992" w:gutter="0"/>
      <w:pgNumType w:fmt="decimal"/>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5</w:t>
                    </w:r>
                    <w:r>
                      <w:rPr>
                        <w:rFonts w:hint="eastAsia"/>
                        <w:lang w:eastAsia="zh-CN"/>
                      </w:rPr>
                      <w:fldChar w:fldCharType="end"/>
                    </w:r>
                    <w:r>
                      <w:rPr>
                        <w:rFonts w:hint="eastAsia"/>
                        <w:lang w:eastAsia="zh-CN"/>
                      </w:rPr>
                      <w:t xml:space="preserve"> 页</w:t>
                    </w:r>
                  </w:p>
                </w:txbxContent>
              </v:textbox>
            </v:shape>
          </w:pict>
        </mc:Fallback>
      </mc:AlternateContent>
    </w:r>
    <w:r>
      <mc:AlternateContent>
        <mc:Choice Requires="wps">
          <w:drawing>
            <wp:anchor distT="0" distB="0" distL="114300" distR="114300" simplePos="0" relativeHeight="251658240" behindDoc="0" locked="0" layoutInCell="1" allowOverlap="1">
              <wp:simplePos x="0" y="0"/>
              <wp:positionH relativeFrom="margin">
                <wp:posOffset>1979930</wp:posOffset>
              </wp:positionH>
              <wp:positionV relativeFrom="paragraph">
                <wp:posOffset>-129540</wp:posOffset>
              </wp:positionV>
              <wp:extent cx="1160780" cy="174625"/>
              <wp:effectExtent l="0" t="0" r="0" b="0"/>
              <wp:wrapNone/>
              <wp:docPr id="1" name="文本框 1"/>
              <wp:cNvGraphicFramePr/>
              <a:graphic xmlns:a="http://schemas.openxmlformats.org/drawingml/2006/main">
                <a:graphicData uri="http://schemas.microsoft.com/office/word/2010/wordprocessingShape">
                  <wps:wsp>
                    <wps:cNvSpPr txBox="1"/>
                    <wps:spPr>
                      <a:xfrm>
                        <a:off x="0" y="0"/>
                        <a:ext cx="1160780" cy="174625"/>
                      </a:xfrm>
                      <a:prstGeom prst="rect">
                        <a:avLst/>
                      </a:prstGeom>
                      <a:noFill/>
                      <a:ln>
                        <a:noFill/>
                      </a:ln>
                    </wps:spPr>
                    <wps:txbx>
                      <w:txbxContent>
                        <w:p>
                          <w:pPr>
                            <w:pStyle w:val="3"/>
                            <w:jc w:val="both"/>
                            <w:rPr>
                              <w:rFonts w:hint="eastAsia"/>
                              <w:lang w:val="en-US" w:eastAsia="zh-CN"/>
                            </w:rPr>
                          </w:pPr>
                        </w:p>
                        <w:p>
                          <w:pPr>
                            <w:pStyle w:val="3"/>
                            <w:jc w:val="center"/>
                            <w:rPr>
                              <w:rFonts w:hint="eastAsia"/>
                            </w:rPr>
                          </w:pPr>
                        </w:p>
                        <w:p>
                          <w:pPr>
                            <w:pStyle w:val="3"/>
                            <w:jc w:val="center"/>
                          </w:pPr>
                        </w:p>
                      </w:txbxContent>
                    </wps:txbx>
                    <wps:bodyPr lIns="0" tIns="0" rIns="0" bIns="0" upright="0"/>
                  </wps:wsp>
                </a:graphicData>
              </a:graphic>
            </wp:anchor>
          </w:drawing>
        </mc:Choice>
        <mc:Fallback>
          <w:pict>
            <v:shape id="_x0000_s1026" o:spid="_x0000_s1026" o:spt="202" type="#_x0000_t202" style="position:absolute;left:0pt;margin-left:155.9pt;margin-top:-10.2pt;height:13.75pt;width:91.4pt;mso-position-horizontal-relative:margin;z-index:251658240;mso-width-relative:page;mso-height-relative:page;" filled="f" stroked="f" coordsize="21600,21600" o:gfxdata="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OSUPsDYAAAACQEAAA8AAAAAAAAA&#10;AQAgAAAAIgAAAGRycy9kb3ducmV2LnhtbFBLAQIUABQAAAAIAIdO4kAJTtyonwEAACQDAAAOAAAA&#10;AAAAAAEAIAAAACcBAABkcnMvZTJvRG9jLnhtbFBLBQYAAAAABgAGAFkBAAA4BQAAAAA=&#10;">
              <v:fill on="f" focussize="0,0"/>
              <v:stroke on="f"/>
              <v:imagedata o:title=""/>
              <o:lock v:ext="edit" aspectratio="f"/>
              <v:textbox inset="0mm,0mm,0mm,0mm">
                <w:txbxContent>
                  <w:p>
                    <w:pPr>
                      <w:pStyle w:val="3"/>
                      <w:jc w:val="both"/>
                      <w:rPr>
                        <w:rFonts w:hint="eastAsia"/>
                        <w:lang w:val="en-US" w:eastAsia="zh-CN"/>
                      </w:rPr>
                    </w:pPr>
                  </w:p>
                  <w:p>
                    <w:pPr>
                      <w:pStyle w:val="3"/>
                      <w:jc w:val="center"/>
                      <w:rPr>
                        <w:rFonts w:hint="eastAsia"/>
                      </w:rPr>
                    </w:pPr>
                  </w:p>
                  <w:p>
                    <w:pPr>
                      <w:pStyle w:val="3"/>
                      <w:jc w:val="center"/>
                    </w:pP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HorizontalSpacing w:val="210"/>
  <w:drawingGridVerticalSpacing w:val="156"/>
  <w:displayHorizontalDrawingGridEvery w:val="1"/>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F291F"/>
    <w:rsid w:val="020D52F2"/>
    <w:rsid w:val="02B47149"/>
    <w:rsid w:val="04B73642"/>
    <w:rsid w:val="04CF079E"/>
    <w:rsid w:val="05695FB5"/>
    <w:rsid w:val="05DA17C5"/>
    <w:rsid w:val="06A51E97"/>
    <w:rsid w:val="10FE09EF"/>
    <w:rsid w:val="1171650B"/>
    <w:rsid w:val="1288622F"/>
    <w:rsid w:val="129D73DF"/>
    <w:rsid w:val="13206410"/>
    <w:rsid w:val="137A4175"/>
    <w:rsid w:val="15EF64D3"/>
    <w:rsid w:val="17237E0F"/>
    <w:rsid w:val="17D518F5"/>
    <w:rsid w:val="199522DA"/>
    <w:rsid w:val="1A4C44F0"/>
    <w:rsid w:val="1A5E11EC"/>
    <w:rsid w:val="1DBC09A8"/>
    <w:rsid w:val="1DDC3972"/>
    <w:rsid w:val="1DF25DB4"/>
    <w:rsid w:val="1E0C76DD"/>
    <w:rsid w:val="1E5C7155"/>
    <w:rsid w:val="1F0C1D4E"/>
    <w:rsid w:val="1F204C35"/>
    <w:rsid w:val="20AA4A87"/>
    <w:rsid w:val="22890A38"/>
    <w:rsid w:val="26915744"/>
    <w:rsid w:val="27334496"/>
    <w:rsid w:val="287A0230"/>
    <w:rsid w:val="29C267FC"/>
    <w:rsid w:val="29F97FBD"/>
    <w:rsid w:val="2A817855"/>
    <w:rsid w:val="2B3A01DA"/>
    <w:rsid w:val="2BB165B9"/>
    <w:rsid w:val="2BC03557"/>
    <w:rsid w:val="2C1147DA"/>
    <w:rsid w:val="2C253476"/>
    <w:rsid w:val="2CC61F64"/>
    <w:rsid w:val="2CE575C0"/>
    <w:rsid w:val="2DA73A0A"/>
    <w:rsid w:val="2DAE3ED4"/>
    <w:rsid w:val="2E202223"/>
    <w:rsid w:val="2F191DAD"/>
    <w:rsid w:val="2FBB7361"/>
    <w:rsid w:val="2FDC5E8D"/>
    <w:rsid w:val="30416B11"/>
    <w:rsid w:val="308B3AF0"/>
    <w:rsid w:val="31001542"/>
    <w:rsid w:val="31B97467"/>
    <w:rsid w:val="31DD1581"/>
    <w:rsid w:val="325A18CF"/>
    <w:rsid w:val="34EC6483"/>
    <w:rsid w:val="34F940B1"/>
    <w:rsid w:val="35CA2DDE"/>
    <w:rsid w:val="368C5C34"/>
    <w:rsid w:val="38432DF3"/>
    <w:rsid w:val="38EE3AB1"/>
    <w:rsid w:val="39686987"/>
    <w:rsid w:val="3AA87AB5"/>
    <w:rsid w:val="3AF47F9D"/>
    <w:rsid w:val="3B1D44C9"/>
    <w:rsid w:val="3B206614"/>
    <w:rsid w:val="3D172DB3"/>
    <w:rsid w:val="3DE34A1D"/>
    <w:rsid w:val="3E9F45DD"/>
    <w:rsid w:val="3F2B7752"/>
    <w:rsid w:val="40427BAE"/>
    <w:rsid w:val="40705D99"/>
    <w:rsid w:val="40C715A6"/>
    <w:rsid w:val="413650BB"/>
    <w:rsid w:val="41FF514E"/>
    <w:rsid w:val="42292FE9"/>
    <w:rsid w:val="42F85DD1"/>
    <w:rsid w:val="43BD1920"/>
    <w:rsid w:val="43D33D94"/>
    <w:rsid w:val="441238D0"/>
    <w:rsid w:val="44817D00"/>
    <w:rsid w:val="44E747AD"/>
    <w:rsid w:val="460470EA"/>
    <w:rsid w:val="460A36B1"/>
    <w:rsid w:val="46E915F4"/>
    <w:rsid w:val="476C39A9"/>
    <w:rsid w:val="476F2416"/>
    <w:rsid w:val="4A0F3FE4"/>
    <w:rsid w:val="4A751583"/>
    <w:rsid w:val="4B151AE6"/>
    <w:rsid w:val="4CAD2952"/>
    <w:rsid w:val="4DA7586C"/>
    <w:rsid w:val="50FA5EEB"/>
    <w:rsid w:val="52BD5253"/>
    <w:rsid w:val="53875292"/>
    <w:rsid w:val="53915210"/>
    <w:rsid w:val="561825B4"/>
    <w:rsid w:val="569003BD"/>
    <w:rsid w:val="58AC63B1"/>
    <w:rsid w:val="5CB20934"/>
    <w:rsid w:val="5D520A59"/>
    <w:rsid w:val="5FE933F6"/>
    <w:rsid w:val="604C4686"/>
    <w:rsid w:val="633A66CD"/>
    <w:rsid w:val="63C86E94"/>
    <w:rsid w:val="663A5ADB"/>
    <w:rsid w:val="66C013C4"/>
    <w:rsid w:val="66FF5F65"/>
    <w:rsid w:val="68274C91"/>
    <w:rsid w:val="694C504E"/>
    <w:rsid w:val="69705283"/>
    <w:rsid w:val="69D2772C"/>
    <w:rsid w:val="6AC126DF"/>
    <w:rsid w:val="6B97209A"/>
    <w:rsid w:val="6E9F3DAB"/>
    <w:rsid w:val="6EEC392A"/>
    <w:rsid w:val="6F0B4D00"/>
    <w:rsid w:val="6FB30A53"/>
    <w:rsid w:val="6FD10BD2"/>
    <w:rsid w:val="73D953B9"/>
    <w:rsid w:val="73FB1077"/>
    <w:rsid w:val="7529136B"/>
    <w:rsid w:val="7566019A"/>
    <w:rsid w:val="7594783C"/>
    <w:rsid w:val="761A6875"/>
    <w:rsid w:val="76220CED"/>
    <w:rsid w:val="76306970"/>
    <w:rsid w:val="774610CA"/>
    <w:rsid w:val="796A2C4E"/>
    <w:rsid w:val="7A2029B7"/>
    <w:rsid w:val="7BA87E7C"/>
    <w:rsid w:val="7C263886"/>
    <w:rsid w:val="7C612AAF"/>
    <w:rsid w:val="7CFD0B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46999</dc:creator>
  <cp:lastModifiedBy>☄ฺ(◣д◢)☄ฺ</cp:lastModifiedBy>
  <dcterms:modified xsi:type="dcterms:W3CDTF">2020-10-27T01:50:51Z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